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6BA" w:rsidRPr="00286FAA" w:rsidRDefault="00F62B50" w:rsidP="003F0646">
      <w:pPr>
        <w:jc w:val="both"/>
        <w:rPr>
          <w:rFonts w:ascii="Times New Roman" w:hAnsi="Times New Roman" w:cs="Times New Roman"/>
          <w:sz w:val="24"/>
          <w:szCs w:val="24"/>
        </w:rPr>
      </w:pPr>
      <w:bookmarkStart w:id="0" w:name="_Toc321147149"/>
      <w:bookmarkStart w:id="1" w:name="_Toc318188227"/>
      <w:bookmarkStart w:id="2" w:name="_Toc318188327"/>
      <w:bookmarkStart w:id="3" w:name="_Toc318189312"/>
      <w:bookmarkStart w:id="4" w:name="_Toc321147011"/>
      <w:r>
        <w:rPr>
          <w:rFonts w:ascii="Times New Roman" w:hAnsi="Times New Roman" w:cs="Times New Roman"/>
          <w:noProof/>
        </w:rPr>
        <w:drawing>
          <wp:inline distT="0" distB="0" distL="0" distR="0">
            <wp:extent cx="2000250" cy="723900"/>
            <wp:effectExtent l="19050" t="0" r="0" b="0"/>
            <wp:docPr id="1" name="Kép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8" descr="logo"/>
                    <pic:cNvPicPr>
                      <a:picLocks noChangeAspect="1" noChangeArrowheads="1"/>
                    </pic:cNvPicPr>
                  </pic:nvPicPr>
                  <pic:blipFill>
                    <a:blip r:embed="rId7"/>
                    <a:srcRect/>
                    <a:stretch>
                      <a:fillRect/>
                    </a:stretch>
                  </pic:blipFill>
                  <pic:spPr bwMode="auto">
                    <a:xfrm>
                      <a:off x="0" y="0"/>
                      <a:ext cx="2000250" cy="723900"/>
                    </a:xfrm>
                    <a:prstGeom prst="rect">
                      <a:avLst/>
                    </a:prstGeom>
                    <a:noFill/>
                    <a:ln w="9525">
                      <a:noFill/>
                      <a:miter lim="800000"/>
                      <a:headEnd/>
                      <a:tailEnd/>
                    </a:ln>
                  </pic:spPr>
                </pic:pic>
              </a:graphicData>
            </a:graphic>
          </wp:inline>
        </w:drawing>
      </w:r>
    </w:p>
    <w:p w:rsidR="008B36BA" w:rsidRPr="00286FAA" w:rsidRDefault="008B36BA" w:rsidP="003F0646">
      <w:pPr>
        <w:spacing w:after="0"/>
        <w:jc w:val="both"/>
        <w:rPr>
          <w:rFonts w:ascii="Times New Roman" w:hAnsi="Times New Roman" w:cs="Times New Roman"/>
          <w:sz w:val="24"/>
          <w:szCs w:val="24"/>
        </w:rPr>
      </w:pPr>
    </w:p>
    <w:p w:rsidR="008B36BA" w:rsidRPr="00286FAA" w:rsidRDefault="008B36BA" w:rsidP="003F0646">
      <w:pPr>
        <w:spacing w:after="0"/>
        <w:jc w:val="both"/>
        <w:rPr>
          <w:rFonts w:ascii="Times New Roman" w:hAnsi="Times New Roman" w:cs="Times New Roman"/>
          <w:color w:val="000000"/>
          <w:sz w:val="24"/>
          <w:szCs w:val="24"/>
        </w:rPr>
      </w:pPr>
    </w:p>
    <w:p w:rsidR="008B36BA" w:rsidRPr="00286FAA" w:rsidRDefault="008B36BA" w:rsidP="003F0646">
      <w:pPr>
        <w:spacing w:after="0"/>
        <w:ind w:right="-1"/>
        <w:rPr>
          <w:rFonts w:ascii="Times New Roman" w:hAnsi="Times New Roman" w:cs="Times New Roman"/>
        </w:rPr>
      </w:pPr>
    </w:p>
    <w:p w:rsidR="008B36BA" w:rsidRPr="00286FAA" w:rsidRDefault="008B36BA" w:rsidP="003F0646">
      <w:pPr>
        <w:spacing w:after="0"/>
        <w:ind w:right="-1"/>
        <w:rPr>
          <w:rFonts w:ascii="Times New Roman" w:hAnsi="Times New Roman" w:cs="Times New Roman"/>
        </w:rPr>
      </w:pPr>
    </w:p>
    <w:p w:rsidR="008B36BA" w:rsidRPr="00286FAA" w:rsidRDefault="008B36BA" w:rsidP="003F0646">
      <w:pPr>
        <w:spacing w:after="0"/>
        <w:ind w:right="-1"/>
        <w:rPr>
          <w:rFonts w:ascii="Times New Roman" w:hAnsi="Times New Roman" w:cs="Times New Roman"/>
        </w:rPr>
      </w:pPr>
    </w:p>
    <w:p w:rsidR="008B36BA" w:rsidRPr="00286FAA" w:rsidRDefault="008B36BA" w:rsidP="003F0646">
      <w:pPr>
        <w:spacing w:after="0"/>
        <w:ind w:right="-1"/>
        <w:rPr>
          <w:rFonts w:ascii="Times New Roman" w:hAnsi="Times New Roman" w:cs="Times New Roman"/>
        </w:rPr>
      </w:pPr>
    </w:p>
    <w:p w:rsidR="008B36BA" w:rsidRPr="00286FAA" w:rsidRDefault="008B36BA" w:rsidP="003F0646">
      <w:pPr>
        <w:spacing w:after="0"/>
        <w:ind w:right="-1"/>
        <w:rPr>
          <w:rFonts w:ascii="Times New Roman" w:hAnsi="Times New Roman" w:cs="Times New Roman"/>
        </w:rPr>
      </w:pPr>
    </w:p>
    <w:p w:rsidR="008B36BA" w:rsidRPr="00286FAA" w:rsidRDefault="008B36BA" w:rsidP="003F0646">
      <w:pPr>
        <w:pStyle w:val="Cmsor1"/>
        <w:pBdr>
          <w:top w:val="single" w:sz="12" w:space="1" w:color="auto" w:shadow="1"/>
          <w:left w:val="single" w:sz="12" w:space="4" w:color="auto" w:shadow="1"/>
          <w:bottom w:val="single" w:sz="12" w:space="1" w:color="auto" w:shadow="1"/>
          <w:right w:val="single" w:sz="12" w:space="4" w:color="auto" w:shadow="1"/>
        </w:pBdr>
        <w:shd w:val="pct10" w:color="auto" w:fill="auto"/>
        <w:spacing w:line="288" w:lineRule="auto"/>
        <w:jc w:val="center"/>
        <w:rPr>
          <w:rFonts w:ascii="Times New Roman" w:hAnsi="Times New Roman" w:cs="Times New Roman"/>
          <w:i/>
          <w:iCs/>
          <w:sz w:val="32"/>
          <w:szCs w:val="32"/>
        </w:rPr>
      </w:pPr>
      <w:r w:rsidRPr="00286FAA">
        <w:rPr>
          <w:rFonts w:ascii="Times New Roman" w:hAnsi="Times New Roman" w:cs="Times New Roman"/>
          <w:sz w:val="32"/>
          <w:szCs w:val="32"/>
        </w:rPr>
        <w:t>SZÁMVITELI SZÉTVÁLASZTÁSI SZABÁLYZAT</w:t>
      </w: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rPr>
      </w:pPr>
    </w:p>
    <w:p w:rsidR="008B36BA" w:rsidRPr="00286FAA" w:rsidRDefault="008B36BA" w:rsidP="003F0646">
      <w:pPr>
        <w:spacing w:after="0"/>
        <w:rPr>
          <w:rFonts w:ascii="Times New Roman" w:hAnsi="Times New Roman" w:cs="Times New Roman"/>
          <w:sz w:val="24"/>
          <w:szCs w:val="24"/>
        </w:rPr>
      </w:pPr>
      <w:r w:rsidRPr="00286FAA">
        <w:rPr>
          <w:rFonts w:ascii="Times New Roman" w:hAnsi="Times New Roman" w:cs="Times New Roman"/>
          <w:sz w:val="24"/>
          <w:szCs w:val="24"/>
        </w:rPr>
        <w:t xml:space="preserve">A társaság neve: </w:t>
      </w:r>
      <w:r w:rsidRPr="00286FAA">
        <w:rPr>
          <w:rFonts w:ascii="Times New Roman" w:hAnsi="Times New Roman" w:cs="Times New Roman"/>
          <w:sz w:val="24"/>
          <w:szCs w:val="24"/>
        </w:rPr>
        <w:tab/>
      </w:r>
      <w:r w:rsidRPr="00286FAA">
        <w:rPr>
          <w:rFonts w:ascii="Times New Roman" w:hAnsi="Times New Roman" w:cs="Times New Roman"/>
          <w:sz w:val="24"/>
          <w:szCs w:val="24"/>
        </w:rPr>
        <w:tab/>
      </w:r>
      <w:r w:rsidRPr="00286FAA">
        <w:rPr>
          <w:rFonts w:ascii="Times New Roman" w:hAnsi="Times New Roman" w:cs="Times New Roman"/>
          <w:sz w:val="24"/>
          <w:szCs w:val="24"/>
        </w:rPr>
        <w:tab/>
      </w:r>
      <w:r w:rsidRPr="00286FAA">
        <w:rPr>
          <w:rFonts w:ascii="Times New Roman" w:hAnsi="Times New Roman" w:cs="Times New Roman"/>
          <w:b/>
          <w:bCs/>
          <w:sz w:val="24"/>
          <w:szCs w:val="24"/>
        </w:rPr>
        <w:t>Dunakeszi Közüzemi Nonprofit Kft.</w:t>
      </w:r>
    </w:p>
    <w:p w:rsidR="008B36BA" w:rsidRPr="00286FAA" w:rsidRDefault="008B36BA" w:rsidP="003F0646">
      <w:pPr>
        <w:spacing w:after="0"/>
        <w:rPr>
          <w:rFonts w:ascii="Times New Roman" w:hAnsi="Times New Roman" w:cs="Times New Roman"/>
          <w:sz w:val="24"/>
          <w:szCs w:val="24"/>
        </w:rPr>
      </w:pPr>
      <w:r w:rsidRPr="00286FAA">
        <w:rPr>
          <w:rFonts w:ascii="Times New Roman" w:hAnsi="Times New Roman" w:cs="Times New Roman"/>
          <w:sz w:val="24"/>
          <w:szCs w:val="24"/>
        </w:rPr>
        <w:t>A társaság székhelye</w:t>
      </w:r>
      <w:r w:rsidRPr="00286FAA">
        <w:rPr>
          <w:rFonts w:ascii="Times New Roman" w:hAnsi="Times New Roman" w:cs="Times New Roman"/>
          <w:sz w:val="24"/>
          <w:szCs w:val="24"/>
        </w:rPr>
        <w:tab/>
      </w:r>
      <w:r w:rsidRPr="00286FAA">
        <w:rPr>
          <w:rFonts w:ascii="Times New Roman" w:hAnsi="Times New Roman" w:cs="Times New Roman"/>
          <w:sz w:val="24"/>
          <w:szCs w:val="24"/>
        </w:rPr>
        <w:tab/>
      </w:r>
      <w:r w:rsidRPr="00286FAA">
        <w:rPr>
          <w:rFonts w:ascii="Times New Roman" w:hAnsi="Times New Roman" w:cs="Times New Roman"/>
          <w:sz w:val="24"/>
          <w:szCs w:val="24"/>
        </w:rPr>
        <w:tab/>
        <w:t>2120 Dunakeszi, Szent István u.1.</w:t>
      </w:r>
    </w:p>
    <w:p w:rsidR="008B36BA" w:rsidRPr="00286FAA" w:rsidRDefault="008B36BA" w:rsidP="003F0646">
      <w:pPr>
        <w:spacing w:after="0"/>
        <w:jc w:val="both"/>
        <w:rPr>
          <w:rFonts w:ascii="Times New Roman" w:hAnsi="Times New Roman" w:cs="Times New Roman"/>
          <w:sz w:val="24"/>
          <w:szCs w:val="24"/>
        </w:rPr>
      </w:pPr>
      <w:r w:rsidRPr="00286FAA">
        <w:rPr>
          <w:rFonts w:ascii="Times New Roman" w:hAnsi="Times New Roman" w:cs="Times New Roman"/>
          <w:sz w:val="24"/>
          <w:szCs w:val="24"/>
        </w:rPr>
        <w:t xml:space="preserve">A társaság adószáma: </w:t>
      </w:r>
      <w:r w:rsidRPr="00286FAA">
        <w:rPr>
          <w:rFonts w:ascii="Times New Roman" w:hAnsi="Times New Roman" w:cs="Times New Roman"/>
          <w:sz w:val="24"/>
          <w:szCs w:val="24"/>
        </w:rPr>
        <w:tab/>
      </w:r>
      <w:r w:rsidRPr="00286FAA">
        <w:rPr>
          <w:rFonts w:ascii="Times New Roman" w:hAnsi="Times New Roman" w:cs="Times New Roman"/>
          <w:sz w:val="24"/>
          <w:szCs w:val="24"/>
        </w:rPr>
        <w:tab/>
        <w:t>10773020-2-13</w:t>
      </w:r>
    </w:p>
    <w:p w:rsidR="008B36BA" w:rsidRPr="00286FAA" w:rsidRDefault="008B36BA" w:rsidP="003F0646">
      <w:pPr>
        <w:spacing w:after="0"/>
        <w:jc w:val="both"/>
        <w:rPr>
          <w:rFonts w:ascii="Times New Roman" w:hAnsi="Times New Roman" w:cs="Times New Roman"/>
          <w:sz w:val="24"/>
          <w:szCs w:val="24"/>
        </w:rPr>
      </w:pPr>
      <w:r w:rsidRPr="00286FAA">
        <w:rPr>
          <w:rFonts w:ascii="Times New Roman" w:hAnsi="Times New Roman" w:cs="Times New Roman"/>
          <w:sz w:val="24"/>
          <w:szCs w:val="24"/>
        </w:rPr>
        <w:t>A társaság ügyvezetője:</w:t>
      </w:r>
      <w:r w:rsidRPr="00286FAA">
        <w:rPr>
          <w:rFonts w:ascii="Times New Roman" w:hAnsi="Times New Roman" w:cs="Times New Roman"/>
          <w:sz w:val="24"/>
          <w:szCs w:val="24"/>
        </w:rPr>
        <w:tab/>
      </w:r>
      <w:r w:rsidRPr="00286FAA">
        <w:rPr>
          <w:rFonts w:ascii="Times New Roman" w:hAnsi="Times New Roman" w:cs="Times New Roman"/>
          <w:sz w:val="24"/>
          <w:szCs w:val="24"/>
        </w:rPr>
        <w:tab/>
      </w:r>
      <w:proofErr w:type="spellStart"/>
      <w:r w:rsidRPr="00286FAA">
        <w:rPr>
          <w:rFonts w:ascii="Times New Roman" w:hAnsi="Times New Roman" w:cs="Times New Roman"/>
          <w:sz w:val="24"/>
          <w:szCs w:val="24"/>
        </w:rPr>
        <w:t>Homolya</w:t>
      </w:r>
      <w:proofErr w:type="spellEnd"/>
      <w:r w:rsidRPr="00286FAA">
        <w:rPr>
          <w:rFonts w:ascii="Times New Roman" w:hAnsi="Times New Roman" w:cs="Times New Roman"/>
          <w:sz w:val="24"/>
          <w:szCs w:val="24"/>
        </w:rPr>
        <w:t xml:space="preserve"> József</w:t>
      </w:r>
    </w:p>
    <w:p w:rsidR="008B36BA" w:rsidRPr="00286FAA" w:rsidRDefault="008B36BA" w:rsidP="003F0646">
      <w:pPr>
        <w:pStyle w:val="Szvegtrzs2"/>
        <w:spacing w:line="288" w:lineRule="auto"/>
        <w:jc w:val="both"/>
        <w:rPr>
          <w:rFonts w:ascii="Times New Roman" w:hAnsi="Times New Roman" w:cs="Times New Roman"/>
          <w:i/>
          <w:iCs/>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Jelen szabályzatban nem szabályozott kérdésekben a mindenkor hatályos közszolgáltatási szerződések és a 4.2. pontban ismertetett kapcsolódó jogszabályok vonatkozó előírásai szerint kell eljárni. A szabályzat tartalmi felülvizsgálatára és módosítására a jogszabályi változások függvényében, de legalább évente, március hó 15. napjáig kerül sor.</w:t>
      </w:r>
    </w:p>
    <w:p w:rsidR="008B36BA" w:rsidRPr="00286FAA" w:rsidRDefault="008B36BA" w:rsidP="003F0646">
      <w:pPr>
        <w:spacing w:after="0"/>
        <w:jc w:val="both"/>
        <w:rPr>
          <w:rFonts w:ascii="Times New Roman" w:hAnsi="Times New Roman" w:cs="Times New Roman"/>
        </w:rPr>
      </w:pPr>
    </w:p>
    <w:p w:rsidR="008B36BA" w:rsidRPr="00286FAA" w:rsidRDefault="008B36BA" w:rsidP="003F0646">
      <w:pPr>
        <w:spacing w:after="0"/>
        <w:rPr>
          <w:rFonts w:ascii="Times New Roman" w:hAnsi="Times New Roman" w:cs="Times New Roman"/>
          <w:b/>
          <w:bCs/>
          <w:sz w:val="24"/>
          <w:szCs w:val="24"/>
        </w:rPr>
      </w:pPr>
      <w:r w:rsidRPr="00286FAA">
        <w:rPr>
          <w:rFonts w:ascii="Times New Roman" w:hAnsi="Times New Roman" w:cs="Times New Roman"/>
          <w:b/>
          <w:bCs/>
          <w:sz w:val="24"/>
          <w:szCs w:val="24"/>
        </w:rPr>
        <w:t>Hatályos</w:t>
      </w:r>
      <w:r w:rsidRPr="00286FAA">
        <w:rPr>
          <w:rFonts w:ascii="Times New Roman" w:hAnsi="Times New Roman" w:cs="Times New Roman"/>
          <w:sz w:val="24"/>
          <w:szCs w:val="24"/>
        </w:rPr>
        <w:t xml:space="preserve"> </w:t>
      </w:r>
      <w:r w:rsidRPr="00286FAA">
        <w:rPr>
          <w:rFonts w:ascii="Times New Roman" w:hAnsi="Times New Roman" w:cs="Times New Roman"/>
          <w:b/>
          <w:bCs/>
          <w:sz w:val="24"/>
          <w:szCs w:val="24"/>
        </w:rPr>
        <w:t>2017. február 1. napjától</w:t>
      </w:r>
    </w:p>
    <w:p w:rsidR="008B36BA" w:rsidRPr="00286FAA" w:rsidRDefault="008B36BA" w:rsidP="003F0646">
      <w:pPr>
        <w:spacing w:after="0"/>
        <w:jc w:val="both"/>
        <w:rPr>
          <w:rFonts w:ascii="Times New Roman" w:hAnsi="Times New Roman" w:cs="Times New Roman"/>
          <w:b/>
          <w:bCs/>
          <w:sz w:val="24"/>
          <w:szCs w:val="24"/>
        </w:rPr>
      </w:pPr>
    </w:p>
    <w:p w:rsidR="008B36BA" w:rsidRPr="00286FAA" w:rsidRDefault="008B36BA" w:rsidP="003F0646">
      <w:pPr>
        <w:spacing w:after="0"/>
        <w:jc w:val="both"/>
        <w:rPr>
          <w:rFonts w:ascii="Times New Roman" w:hAnsi="Times New Roman" w:cs="Times New Roman"/>
          <w:b/>
          <w:bCs/>
        </w:rPr>
      </w:pPr>
    </w:p>
    <w:p w:rsidR="008B36BA" w:rsidRPr="00286FAA" w:rsidRDefault="008B36BA" w:rsidP="003F0646">
      <w:pPr>
        <w:spacing w:after="0"/>
        <w:jc w:val="both"/>
        <w:rPr>
          <w:rFonts w:ascii="Times New Roman" w:hAnsi="Times New Roman" w:cs="Times New Roman"/>
          <w:b/>
          <w:bCs/>
        </w:rPr>
      </w:pPr>
    </w:p>
    <w:p w:rsidR="008B36BA" w:rsidRPr="00286FAA" w:rsidRDefault="008B36BA" w:rsidP="003F0646">
      <w:pPr>
        <w:spacing w:after="0"/>
        <w:jc w:val="both"/>
        <w:rPr>
          <w:rFonts w:ascii="Times New Roman" w:hAnsi="Times New Roman" w:cs="Times New Roman"/>
          <w:b/>
          <w:bCs/>
        </w:rPr>
      </w:pPr>
    </w:p>
    <w:p w:rsidR="008B36BA" w:rsidRPr="00286FAA" w:rsidRDefault="008B36BA" w:rsidP="003F0646">
      <w:pPr>
        <w:spacing w:after="0"/>
        <w:jc w:val="both"/>
        <w:rPr>
          <w:rFonts w:ascii="Times New Roman" w:hAnsi="Times New Roman" w:cs="Times New Roman"/>
          <w:b/>
          <w:bCs/>
        </w:rPr>
      </w:pPr>
    </w:p>
    <w:p w:rsidR="008B36BA" w:rsidRPr="00286FAA" w:rsidRDefault="008B36BA" w:rsidP="003F0646">
      <w:pPr>
        <w:spacing w:after="0"/>
        <w:ind w:left="4248" w:firstLine="708"/>
        <w:jc w:val="both"/>
        <w:rPr>
          <w:rFonts w:ascii="Times New Roman" w:hAnsi="Times New Roman" w:cs="Times New Roman"/>
        </w:rPr>
      </w:pPr>
      <w:r w:rsidRPr="00286FAA">
        <w:rPr>
          <w:rFonts w:ascii="Times New Roman" w:hAnsi="Times New Roman" w:cs="Times New Roman"/>
        </w:rPr>
        <w:t>_____________________________</w:t>
      </w:r>
    </w:p>
    <w:p w:rsidR="008B36BA" w:rsidRPr="00286FAA" w:rsidRDefault="008B36BA" w:rsidP="003F0646">
      <w:pPr>
        <w:spacing w:after="0"/>
        <w:ind w:left="4956" w:firstLine="708"/>
        <w:jc w:val="both"/>
        <w:rPr>
          <w:rFonts w:ascii="Times New Roman" w:hAnsi="Times New Roman" w:cs="Times New Roman"/>
          <w:sz w:val="24"/>
          <w:szCs w:val="24"/>
        </w:rPr>
      </w:pPr>
      <w:proofErr w:type="gramStart"/>
      <w:r w:rsidRPr="00286FAA">
        <w:rPr>
          <w:rFonts w:ascii="Times New Roman" w:hAnsi="Times New Roman" w:cs="Times New Roman"/>
          <w:sz w:val="24"/>
          <w:szCs w:val="24"/>
        </w:rPr>
        <w:t>cégszerű</w:t>
      </w:r>
      <w:proofErr w:type="gramEnd"/>
      <w:r w:rsidRPr="00286FAA">
        <w:rPr>
          <w:rFonts w:ascii="Times New Roman" w:hAnsi="Times New Roman" w:cs="Times New Roman"/>
          <w:sz w:val="24"/>
          <w:szCs w:val="24"/>
        </w:rPr>
        <w:t xml:space="preserve"> aláírás</w:t>
      </w:r>
    </w:p>
    <w:p w:rsidR="008B36BA" w:rsidRPr="00286FAA" w:rsidRDefault="008B36BA" w:rsidP="003F0646">
      <w:pPr>
        <w:rPr>
          <w:rFonts w:ascii="Times New Roman" w:hAnsi="Times New Roman" w:cs="Times New Roman"/>
        </w:rPr>
      </w:pPr>
    </w:p>
    <w:p w:rsidR="008B36BA" w:rsidRPr="00286FAA" w:rsidRDefault="008B36BA" w:rsidP="003F0646">
      <w:pPr>
        <w:jc w:val="center"/>
        <w:rPr>
          <w:rFonts w:ascii="Times New Roman" w:hAnsi="Times New Roman" w:cs="Times New Roman"/>
          <w:b/>
          <w:bCs/>
          <w:sz w:val="28"/>
          <w:szCs w:val="28"/>
        </w:rPr>
      </w:pPr>
      <w:r w:rsidRPr="00286FAA">
        <w:rPr>
          <w:rFonts w:ascii="Times New Roman" w:hAnsi="Times New Roman" w:cs="Times New Roman"/>
          <w:b/>
          <w:bCs/>
          <w:sz w:val="28"/>
          <w:szCs w:val="28"/>
        </w:rPr>
        <w:lastRenderedPageBreak/>
        <w:t>NYOMON KÖVETÉSI LAP</w:t>
      </w: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77"/>
        <w:gridCol w:w="2877"/>
        <w:gridCol w:w="2877"/>
      </w:tblGrid>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sz w:val="24"/>
                <w:szCs w:val="24"/>
              </w:rPr>
            </w:pPr>
            <w:r w:rsidRPr="00286FAA">
              <w:rPr>
                <w:rFonts w:ascii="Times New Roman" w:hAnsi="Times New Roman" w:cs="Times New Roman"/>
                <w:b/>
                <w:bCs/>
                <w:sz w:val="24"/>
                <w:szCs w:val="24"/>
              </w:rPr>
              <w:t>Kiadás/módosítás</w:t>
            </w:r>
          </w:p>
        </w:tc>
        <w:tc>
          <w:tcPr>
            <w:tcW w:w="2877" w:type="dxa"/>
            <w:vAlign w:val="center"/>
          </w:tcPr>
          <w:p w:rsidR="008B36BA" w:rsidRPr="00286FAA" w:rsidRDefault="008B36BA" w:rsidP="003F0646">
            <w:pPr>
              <w:jc w:val="center"/>
              <w:rPr>
                <w:rFonts w:ascii="Times New Roman" w:hAnsi="Times New Roman" w:cs="Times New Roman"/>
                <w:b/>
                <w:bCs/>
                <w:sz w:val="24"/>
                <w:szCs w:val="24"/>
              </w:rPr>
            </w:pPr>
            <w:r w:rsidRPr="00286FAA">
              <w:rPr>
                <w:rFonts w:ascii="Times New Roman" w:hAnsi="Times New Roman" w:cs="Times New Roman"/>
                <w:b/>
                <w:bCs/>
                <w:sz w:val="24"/>
                <w:szCs w:val="24"/>
              </w:rPr>
              <w:t>Hatályba lépés</w:t>
            </w:r>
          </w:p>
        </w:tc>
        <w:tc>
          <w:tcPr>
            <w:tcW w:w="2877" w:type="dxa"/>
            <w:vAlign w:val="center"/>
          </w:tcPr>
          <w:p w:rsidR="008B36BA" w:rsidRPr="00286FAA" w:rsidRDefault="008B36BA" w:rsidP="003F0646">
            <w:pPr>
              <w:jc w:val="center"/>
              <w:rPr>
                <w:rFonts w:ascii="Times New Roman" w:hAnsi="Times New Roman" w:cs="Times New Roman"/>
                <w:b/>
                <w:bCs/>
                <w:sz w:val="24"/>
                <w:szCs w:val="24"/>
              </w:rPr>
            </w:pPr>
            <w:r w:rsidRPr="00286FAA">
              <w:rPr>
                <w:rFonts w:ascii="Times New Roman" w:hAnsi="Times New Roman" w:cs="Times New Roman"/>
                <w:b/>
                <w:bCs/>
                <w:sz w:val="24"/>
                <w:szCs w:val="24"/>
              </w:rPr>
              <w:t>Módosítás leírása</w:t>
            </w: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sz w:val="24"/>
                <w:szCs w:val="24"/>
              </w:rPr>
            </w:pPr>
            <w:r w:rsidRPr="00286FAA">
              <w:rPr>
                <w:rFonts w:ascii="Times New Roman" w:hAnsi="Times New Roman" w:cs="Times New Roman"/>
                <w:sz w:val="24"/>
                <w:szCs w:val="24"/>
              </w:rPr>
              <w:t>1. kiadás, 0. módosítás</w:t>
            </w:r>
          </w:p>
        </w:tc>
        <w:tc>
          <w:tcPr>
            <w:tcW w:w="2877" w:type="dxa"/>
            <w:vAlign w:val="center"/>
          </w:tcPr>
          <w:p w:rsidR="008B36BA" w:rsidRPr="00286FAA" w:rsidRDefault="008B36BA" w:rsidP="003F0646">
            <w:pPr>
              <w:jc w:val="center"/>
              <w:rPr>
                <w:rFonts w:ascii="Times New Roman" w:hAnsi="Times New Roman" w:cs="Times New Roman"/>
                <w:sz w:val="24"/>
                <w:szCs w:val="24"/>
              </w:rPr>
            </w:pPr>
            <w:r w:rsidRPr="00286FAA">
              <w:rPr>
                <w:rFonts w:ascii="Times New Roman" w:hAnsi="Times New Roman" w:cs="Times New Roman"/>
                <w:sz w:val="24"/>
                <w:szCs w:val="24"/>
              </w:rPr>
              <w:t>2017. február 1.</w:t>
            </w:r>
          </w:p>
        </w:tc>
        <w:tc>
          <w:tcPr>
            <w:tcW w:w="2877" w:type="dxa"/>
            <w:vAlign w:val="center"/>
          </w:tcPr>
          <w:p w:rsidR="008B36BA" w:rsidRPr="00286FAA" w:rsidRDefault="008B36BA" w:rsidP="003F0646">
            <w:pPr>
              <w:jc w:val="center"/>
              <w:rPr>
                <w:rFonts w:ascii="Times New Roman" w:hAnsi="Times New Roman" w:cs="Times New Roman"/>
                <w:sz w:val="24"/>
                <w:szCs w:val="24"/>
              </w:rPr>
            </w:pPr>
            <w:r w:rsidRPr="00286FAA">
              <w:rPr>
                <w:rFonts w:ascii="Times New Roman" w:hAnsi="Times New Roman" w:cs="Times New Roman"/>
                <w:sz w:val="24"/>
                <w:szCs w:val="24"/>
              </w:rPr>
              <w:t>----</w:t>
            </w: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r w:rsidR="008B36BA" w:rsidRPr="00286FAA">
        <w:trPr>
          <w:trHeight w:val="624"/>
        </w:trPr>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c>
          <w:tcPr>
            <w:tcW w:w="2877" w:type="dxa"/>
            <w:vAlign w:val="center"/>
          </w:tcPr>
          <w:p w:rsidR="008B36BA" w:rsidRPr="00286FAA" w:rsidRDefault="008B36BA" w:rsidP="003F0646">
            <w:pPr>
              <w:jc w:val="center"/>
              <w:rPr>
                <w:rFonts w:ascii="Times New Roman" w:hAnsi="Times New Roman" w:cs="Times New Roman"/>
                <w:b/>
                <w:bCs/>
              </w:rPr>
            </w:pPr>
          </w:p>
        </w:tc>
      </w:tr>
    </w:tbl>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b/>
          <w:bCs/>
        </w:rPr>
      </w:pPr>
    </w:p>
    <w:p w:rsidR="008B36BA" w:rsidRPr="00286FAA" w:rsidRDefault="008B36BA" w:rsidP="003F0646">
      <w:pPr>
        <w:jc w:val="center"/>
        <w:rPr>
          <w:rFonts w:ascii="Times New Roman" w:hAnsi="Times New Roman" w:cs="Times New Roman"/>
          <w:i/>
          <w:iCs/>
        </w:rPr>
      </w:pPr>
    </w:p>
    <w:p w:rsidR="008B36BA" w:rsidRDefault="008B36BA" w:rsidP="00286FAA">
      <w:pPr>
        <w:rPr>
          <w:rFonts w:ascii="Times New Roman" w:hAnsi="Times New Roman" w:cs="Times New Roman"/>
          <w:i/>
          <w:iCs/>
        </w:rPr>
      </w:pPr>
      <w:bookmarkStart w:id="5" w:name="_Toc438546508"/>
      <w:bookmarkEnd w:id="0"/>
      <w:bookmarkEnd w:id="1"/>
      <w:bookmarkEnd w:id="2"/>
      <w:bookmarkEnd w:id="3"/>
      <w:bookmarkEnd w:id="4"/>
    </w:p>
    <w:p w:rsidR="00286FAA" w:rsidRDefault="00286FAA" w:rsidP="00286FAA">
      <w:pPr>
        <w:rPr>
          <w:rFonts w:ascii="Times New Roman" w:hAnsi="Times New Roman" w:cs="Times New Roman"/>
          <w:i/>
          <w:iCs/>
        </w:rPr>
      </w:pPr>
    </w:p>
    <w:p w:rsidR="00286FAA" w:rsidRDefault="00286FAA" w:rsidP="00286FAA">
      <w:pPr>
        <w:rPr>
          <w:rFonts w:ascii="Times New Roman" w:hAnsi="Times New Roman" w:cs="Times New Roman"/>
          <w:i/>
          <w:iCs/>
        </w:rPr>
      </w:pPr>
    </w:p>
    <w:p w:rsidR="00286FAA" w:rsidRPr="00286FAA" w:rsidRDefault="00286FAA" w:rsidP="00286FAA">
      <w:pPr>
        <w:rPr>
          <w:rFonts w:ascii="Times New Roman" w:hAnsi="Times New Roman" w:cs="Times New Roman"/>
          <w:i/>
          <w:iCs/>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lastRenderedPageBreak/>
        <w:t>A közszolgáltatások hazai és uniós szabályozásának rendszere előírja a szolgáltatók számára, hogy az egyes közszolgáltatások során realizált bevételeket és elszámolt ráfordításokat, a szolgáltatásokhoz használt eszközöket és azok forrásait úgy kezeljék nyilvántartásaikban, s úgy mutassák be beszámolóikban, mint azok a vállalkozások tennék, akik kizárólag azt a bizonyos közszolgáltatást végzik. A hazai jogszabályok ennek érdekében előírják, hogy a szolgáltatók az egyes közszolgáltatások számviteli szétválasztási szabályait dolgozzák ki, továbbá a közszolgáltatásokkal kapcsolatos gazdasági eseményeket elkülönítetten tartsák nyilván.</w:t>
      </w:r>
    </w:p>
    <w:p w:rsidR="008B36B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Az egyes közszolgáltatási tevékenységek átláthatóságának és diszkriminációmentességének biztosítása, a keresztfinanszírozás és a versenytorzítás lehetőségének kizárása érdekében, valamint az ágazati jogszabályokban meghatározott, specifikus szabályokra is tekintettel a Dunakeszi Közüzemi Nonprofit Kft. (továbbiakban: a társaság) közszolgáltatási tevékenységeinek számviteli szétválasztási rendjét az alábbiak szerint szabályozom.</w:t>
      </w:r>
    </w:p>
    <w:p w:rsidR="00286FAA" w:rsidRPr="00286FAA" w:rsidRDefault="00286FAA" w:rsidP="003F0646">
      <w:pPr>
        <w:jc w:val="both"/>
        <w:rPr>
          <w:rFonts w:ascii="Times New Roman" w:hAnsi="Times New Roman" w:cs="Times New Roman"/>
          <w:sz w:val="24"/>
          <w:szCs w:val="24"/>
        </w:rPr>
      </w:pPr>
    </w:p>
    <w:p w:rsidR="008B36BA" w:rsidRPr="00286FAA" w:rsidRDefault="008B36BA" w:rsidP="003F0646">
      <w:pPr>
        <w:numPr>
          <w:ilvl w:val="0"/>
          <w:numId w:val="7"/>
        </w:numPr>
        <w:spacing w:after="0"/>
        <w:ind w:left="567" w:firstLine="0"/>
        <w:jc w:val="center"/>
        <w:rPr>
          <w:rFonts w:ascii="Times New Roman" w:hAnsi="Times New Roman" w:cs="Times New Roman"/>
          <w:b/>
          <w:bCs/>
          <w:sz w:val="30"/>
          <w:szCs w:val="30"/>
        </w:rPr>
      </w:pPr>
      <w:r w:rsidRPr="00286FAA">
        <w:rPr>
          <w:rFonts w:ascii="Times New Roman" w:hAnsi="Times New Roman" w:cs="Times New Roman"/>
          <w:b/>
          <w:bCs/>
          <w:sz w:val="30"/>
          <w:szCs w:val="30"/>
        </w:rPr>
        <w:t>Általános rendelkezések</w:t>
      </w:r>
    </w:p>
    <w:p w:rsidR="008B36BA" w:rsidRPr="00286FAA" w:rsidRDefault="008B36BA" w:rsidP="003F0646">
      <w:pPr>
        <w:spacing w:after="0"/>
        <w:ind w:left="567"/>
        <w:jc w:val="center"/>
        <w:rPr>
          <w:rFonts w:ascii="Times New Roman" w:hAnsi="Times New Roman" w:cs="Times New Roman"/>
          <w:b/>
          <w:bCs/>
          <w:sz w:val="28"/>
          <w:szCs w:val="28"/>
        </w:rPr>
      </w:pPr>
    </w:p>
    <w:p w:rsidR="008B36BA" w:rsidRPr="00286FAA" w:rsidRDefault="008B36BA" w:rsidP="003F0646">
      <w:pPr>
        <w:pStyle w:val="Listaszerbekezds"/>
        <w:numPr>
          <w:ilvl w:val="1"/>
          <w:numId w:val="7"/>
        </w:numPr>
        <w:spacing w:after="0"/>
        <w:rPr>
          <w:rFonts w:ascii="Times New Roman" w:hAnsi="Times New Roman" w:cs="Times New Roman"/>
          <w:b/>
          <w:bCs/>
          <w:sz w:val="28"/>
          <w:szCs w:val="28"/>
        </w:rPr>
      </w:pPr>
      <w:r w:rsidRPr="00286FAA">
        <w:rPr>
          <w:rFonts w:ascii="Times New Roman" w:hAnsi="Times New Roman" w:cs="Times New Roman"/>
          <w:b/>
          <w:bCs/>
          <w:sz w:val="28"/>
          <w:szCs w:val="28"/>
        </w:rPr>
        <w:t>A szabályzat célja és hatálya</w:t>
      </w:r>
    </w:p>
    <w:p w:rsidR="008B36BA" w:rsidRPr="00286FAA" w:rsidRDefault="008B36BA" w:rsidP="00286FAA">
      <w:pPr>
        <w:jc w:val="both"/>
        <w:rPr>
          <w:rFonts w:ascii="Times New Roman" w:hAnsi="Times New Roman" w:cs="Times New Roman"/>
          <w:sz w:val="24"/>
          <w:szCs w:val="24"/>
        </w:rPr>
      </w:pPr>
      <w:r w:rsidRPr="00286FAA">
        <w:rPr>
          <w:rFonts w:ascii="Times New Roman" w:hAnsi="Times New Roman" w:cs="Times New Roman"/>
          <w:sz w:val="24"/>
          <w:szCs w:val="24"/>
        </w:rPr>
        <w:t>A szabályzat célja, hogy a társaság közszolgáltatási és egyéb tevékenységeinek számviteli szétválasztása valamennyi tevékenységre vonatkozóan egységes elvek mentén, teljes körűen, a kívülállók számára is jól megállapíthatóan történjen. A szabályzatban szereplő rendelkezések alkalmazása - a számviteli politika egyéb előírásaival összhangban – segítse elő az ágazati jogszabályokban és a közszolgáltatási szerződésekben előírt tartalommal és formában a beszámolási és adatszolgáltatási kötelezettség teljesítését.</w:t>
      </w:r>
    </w:p>
    <w:p w:rsidR="00286FAA" w:rsidRDefault="008B36BA" w:rsidP="00286FAA">
      <w:pPr>
        <w:jc w:val="both"/>
        <w:rPr>
          <w:rFonts w:ascii="Times New Roman" w:hAnsi="Times New Roman" w:cs="Times New Roman"/>
          <w:sz w:val="24"/>
          <w:szCs w:val="24"/>
        </w:rPr>
      </w:pPr>
      <w:r w:rsidRPr="00286FAA">
        <w:rPr>
          <w:rFonts w:ascii="Times New Roman" w:hAnsi="Times New Roman" w:cs="Times New Roman"/>
          <w:sz w:val="24"/>
          <w:szCs w:val="24"/>
        </w:rPr>
        <w:t>A szabályzat rendelkezései a tevékenységek számviteli elkülönítését, az elkülönített nyilvántartások tartalmát, a beszámolóban bemutatott információk tartalmát szabályozzák (tárgyi hatály). A szabályzat rendelkezései a társaság valamennyi, a közszolgáltatások nyilvántartásával foglalkozó munkavállalójára vonatkoznak (személyi hatály).</w:t>
      </w:r>
    </w:p>
    <w:p w:rsidR="00286FAA" w:rsidRDefault="00286FAA" w:rsidP="00286FAA">
      <w:pPr>
        <w:jc w:val="both"/>
        <w:rPr>
          <w:rFonts w:ascii="Times New Roman" w:hAnsi="Times New Roman" w:cs="Times New Roman"/>
          <w:sz w:val="24"/>
          <w:szCs w:val="24"/>
        </w:rPr>
      </w:pPr>
    </w:p>
    <w:p w:rsidR="00286FAA" w:rsidRDefault="00286FAA" w:rsidP="00286FAA">
      <w:pPr>
        <w:jc w:val="both"/>
        <w:rPr>
          <w:rFonts w:ascii="Times New Roman" w:hAnsi="Times New Roman" w:cs="Times New Roman"/>
          <w:sz w:val="24"/>
          <w:szCs w:val="24"/>
        </w:rPr>
      </w:pPr>
    </w:p>
    <w:p w:rsidR="00286FAA" w:rsidRDefault="00286FAA" w:rsidP="00286FAA">
      <w:pPr>
        <w:jc w:val="both"/>
        <w:rPr>
          <w:rFonts w:ascii="Times New Roman" w:hAnsi="Times New Roman" w:cs="Times New Roman"/>
          <w:sz w:val="24"/>
          <w:szCs w:val="24"/>
        </w:rPr>
      </w:pPr>
    </w:p>
    <w:p w:rsidR="00286FAA" w:rsidRPr="00286FAA" w:rsidRDefault="00286FAA" w:rsidP="00286FAA">
      <w:pPr>
        <w:jc w:val="both"/>
        <w:rPr>
          <w:rFonts w:ascii="Times New Roman" w:hAnsi="Times New Roman" w:cs="Times New Roman"/>
          <w:sz w:val="24"/>
          <w:szCs w:val="24"/>
        </w:rPr>
      </w:pPr>
    </w:p>
    <w:p w:rsidR="008B36BA" w:rsidRPr="00286FAA" w:rsidRDefault="008B36BA" w:rsidP="003F0646">
      <w:pPr>
        <w:pStyle w:val="Listaszerbekezds"/>
        <w:numPr>
          <w:ilvl w:val="1"/>
          <w:numId w:val="7"/>
        </w:numPr>
        <w:spacing w:after="0"/>
        <w:rPr>
          <w:rFonts w:ascii="Times New Roman" w:hAnsi="Times New Roman" w:cs="Times New Roman"/>
          <w:b/>
          <w:bCs/>
          <w:sz w:val="28"/>
          <w:szCs w:val="28"/>
        </w:rPr>
      </w:pPr>
      <w:r w:rsidRPr="00286FAA">
        <w:rPr>
          <w:rFonts w:ascii="Times New Roman" w:hAnsi="Times New Roman" w:cs="Times New Roman"/>
          <w:b/>
          <w:bCs/>
          <w:sz w:val="28"/>
          <w:szCs w:val="28"/>
        </w:rPr>
        <w:lastRenderedPageBreak/>
        <w:t>Értelmező rendelkezések és fogalmak</w:t>
      </w:r>
    </w:p>
    <w:p w:rsidR="008B36BA" w:rsidRPr="00286FAA" w:rsidRDefault="008B36BA" w:rsidP="003F0646">
      <w:pPr>
        <w:pStyle w:val="Listaszerbekezds"/>
        <w:spacing w:after="0"/>
        <w:ind w:left="1287"/>
        <w:rPr>
          <w:rFonts w:ascii="Times New Roman" w:hAnsi="Times New Roman" w:cs="Times New Roman"/>
          <w:b/>
          <w:bCs/>
          <w:sz w:val="28"/>
          <w:szCs w:val="28"/>
        </w:rPr>
      </w:pPr>
    </w:p>
    <w:bookmarkEnd w:id="5"/>
    <w:p w:rsidR="008B36BA" w:rsidRPr="00286FAA" w:rsidRDefault="008B36BA" w:rsidP="003F0646">
      <w:pPr>
        <w:rPr>
          <w:rFonts w:ascii="Times New Roman" w:hAnsi="Times New Roman" w:cs="Times New Roman"/>
          <w:sz w:val="24"/>
          <w:szCs w:val="24"/>
        </w:rPr>
      </w:pPr>
      <w:r w:rsidRPr="00286FAA">
        <w:rPr>
          <w:rFonts w:ascii="Times New Roman" w:hAnsi="Times New Roman" w:cs="Times New Roman"/>
          <w:sz w:val="24"/>
          <w:szCs w:val="24"/>
        </w:rPr>
        <w:t>E Szabályzat alkalmazásában:</w:t>
      </w:r>
    </w:p>
    <w:p w:rsidR="008B36BA" w:rsidRPr="00286FAA" w:rsidRDefault="008B36BA" w:rsidP="003F0646">
      <w:pPr>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közszolgáltatás</w:t>
      </w:r>
      <w:proofErr w:type="gramEnd"/>
      <w:r w:rsidRPr="00286FAA">
        <w:rPr>
          <w:rFonts w:ascii="Times New Roman" w:hAnsi="Times New Roman" w:cs="Times New Roman"/>
          <w:b/>
          <w:bCs/>
          <w:sz w:val="24"/>
          <w:szCs w:val="24"/>
        </w:rPr>
        <w:t>:</w:t>
      </w:r>
      <w:r w:rsidRPr="00286FAA">
        <w:rPr>
          <w:rFonts w:ascii="Times New Roman" w:hAnsi="Times New Roman" w:cs="Times New Roman"/>
          <w:sz w:val="24"/>
          <w:szCs w:val="24"/>
        </w:rPr>
        <w:t xml:space="preserve"> a társaság számára külön törvények alapján termékértékesítési vagy szolgáltatásnyújtási kötelezettség hatálya alá távhőszolgáltatás, hulladékkezelés, temető fenntartás és üzemeltetés (kegyeleti közszolgáltatás);</w:t>
      </w:r>
    </w:p>
    <w:p w:rsidR="008B36BA" w:rsidRPr="00286FAA" w:rsidRDefault="008B36BA" w:rsidP="003F0646">
      <w:pPr>
        <w:jc w:val="both"/>
        <w:rPr>
          <w:rFonts w:ascii="Times New Roman" w:hAnsi="Times New Roman" w:cs="Times New Roman"/>
          <w:sz w:val="24"/>
          <w:szCs w:val="24"/>
        </w:rPr>
      </w:pPr>
      <w:proofErr w:type="spellStart"/>
      <w:r w:rsidRPr="00286FAA">
        <w:rPr>
          <w:rFonts w:ascii="Times New Roman" w:hAnsi="Times New Roman" w:cs="Times New Roman"/>
          <w:b/>
          <w:bCs/>
          <w:sz w:val="24"/>
          <w:szCs w:val="24"/>
        </w:rPr>
        <w:t>távhőágazat</w:t>
      </w:r>
      <w:proofErr w:type="spellEnd"/>
      <w:r w:rsidRPr="00286FAA">
        <w:rPr>
          <w:rFonts w:ascii="Times New Roman" w:hAnsi="Times New Roman" w:cs="Times New Roman"/>
          <w:b/>
          <w:bCs/>
          <w:sz w:val="24"/>
          <w:szCs w:val="24"/>
        </w:rPr>
        <w:t>:</w:t>
      </w:r>
      <w:r w:rsidRPr="00286FAA">
        <w:rPr>
          <w:rFonts w:ascii="Times New Roman" w:hAnsi="Times New Roman" w:cs="Times New Roman"/>
          <w:sz w:val="24"/>
          <w:szCs w:val="24"/>
        </w:rPr>
        <w:t xml:space="preserve"> a társaság távhőtermelési és </w:t>
      </w:r>
      <w:proofErr w:type="spellStart"/>
      <w:r w:rsidRPr="00286FAA">
        <w:rPr>
          <w:rFonts w:ascii="Times New Roman" w:hAnsi="Times New Roman" w:cs="Times New Roman"/>
          <w:sz w:val="24"/>
          <w:szCs w:val="24"/>
        </w:rPr>
        <w:t>távhőszolgáltatási</w:t>
      </w:r>
      <w:proofErr w:type="spellEnd"/>
      <w:r w:rsidRPr="00286FAA">
        <w:rPr>
          <w:rFonts w:ascii="Times New Roman" w:hAnsi="Times New Roman" w:cs="Times New Roman"/>
          <w:sz w:val="24"/>
          <w:szCs w:val="24"/>
        </w:rPr>
        <w:t xml:space="preserve"> tevékenységeinek összessége.</w:t>
      </w:r>
    </w:p>
    <w:p w:rsidR="008B36BA" w:rsidRPr="00286FAA" w:rsidRDefault="008B36BA" w:rsidP="003F0646">
      <w:pPr>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távhőszolgáltatás</w:t>
      </w:r>
      <w:proofErr w:type="gramEnd"/>
      <w:r w:rsidRPr="00286FAA">
        <w:rPr>
          <w:rFonts w:ascii="Times New Roman" w:hAnsi="Times New Roman" w:cs="Times New Roman"/>
          <w:sz w:val="24"/>
          <w:szCs w:val="24"/>
        </w:rPr>
        <w:t xml:space="preserve">: az a közszolgáltatás, amely a felhasználónak a </w:t>
      </w:r>
      <w:proofErr w:type="spellStart"/>
      <w:r w:rsidRPr="00286FAA">
        <w:rPr>
          <w:rFonts w:ascii="Times New Roman" w:hAnsi="Times New Roman" w:cs="Times New Roman"/>
          <w:sz w:val="24"/>
          <w:szCs w:val="24"/>
        </w:rPr>
        <w:t>távhőtermelő</w:t>
      </w:r>
      <w:proofErr w:type="spellEnd"/>
      <w:r w:rsidRPr="00286FAA">
        <w:rPr>
          <w:rFonts w:ascii="Times New Roman" w:hAnsi="Times New Roman" w:cs="Times New Roman"/>
          <w:sz w:val="24"/>
          <w:szCs w:val="24"/>
        </w:rPr>
        <w:t xml:space="preserve"> létesítményből </w:t>
      </w:r>
      <w:proofErr w:type="spellStart"/>
      <w:r w:rsidRPr="00286FAA">
        <w:rPr>
          <w:rFonts w:ascii="Times New Roman" w:hAnsi="Times New Roman" w:cs="Times New Roman"/>
          <w:sz w:val="24"/>
          <w:szCs w:val="24"/>
        </w:rPr>
        <w:t>távhővezeték</w:t>
      </w:r>
      <w:proofErr w:type="spellEnd"/>
      <w:r w:rsidRPr="00286FAA">
        <w:rPr>
          <w:rFonts w:ascii="Times New Roman" w:hAnsi="Times New Roman" w:cs="Times New Roman"/>
          <w:sz w:val="24"/>
          <w:szCs w:val="24"/>
        </w:rPr>
        <w:t xml:space="preserve"> hálózaton keresztül, a társaság által végzett, üzletszerű tevékenység keretében történő </w:t>
      </w:r>
      <w:proofErr w:type="spellStart"/>
      <w:r w:rsidRPr="00286FAA">
        <w:rPr>
          <w:rFonts w:ascii="Times New Roman" w:hAnsi="Times New Roman" w:cs="Times New Roman"/>
          <w:sz w:val="24"/>
          <w:szCs w:val="24"/>
        </w:rPr>
        <w:t>hőellátásával</w:t>
      </w:r>
      <w:proofErr w:type="spellEnd"/>
      <w:r w:rsidRPr="00286FAA">
        <w:rPr>
          <w:rFonts w:ascii="Times New Roman" w:hAnsi="Times New Roman" w:cs="Times New Roman"/>
          <w:sz w:val="24"/>
          <w:szCs w:val="24"/>
        </w:rPr>
        <w:t xml:space="preserve"> fűtési, illetve egyéb </w:t>
      </w:r>
      <w:proofErr w:type="spellStart"/>
      <w:r w:rsidRPr="00286FAA">
        <w:rPr>
          <w:rFonts w:ascii="Times New Roman" w:hAnsi="Times New Roman" w:cs="Times New Roman"/>
          <w:sz w:val="24"/>
          <w:szCs w:val="24"/>
        </w:rPr>
        <w:t>hőhasznosítási</w:t>
      </w:r>
      <w:proofErr w:type="spellEnd"/>
      <w:r w:rsidRPr="00286FAA">
        <w:rPr>
          <w:rFonts w:ascii="Times New Roman" w:hAnsi="Times New Roman" w:cs="Times New Roman"/>
          <w:sz w:val="24"/>
          <w:szCs w:val="24"/>
        </w:rPr>
        <w:t xml:space="preserve"> célú energiaellátásával valósul meg (a </w:t>
      </w:r>
      <w:proofErr w:type="spellStart"/>
      <w:r w:rsidRPr="00286FAA">
        <w:rPr>
          <w:rFonts w:ascii="Times New Roman" w:hAnsi="Times New Roman" w:cs="Times New Roman"/>
          <w:sz w:val="24"/>
          <w:szCs w:val="24"/>
        </w:rPr>
        <w:t>Tszt</w:t>
      </w:r>
      <w:proofErr w:type="spellEnd"/>
      <w:r w:rsidRPr="00286FAA">
        <w:rPr>
          <w:rFonts w:ascii="Times New Roman" w:hAnsi="Times New Roman" w:cs="Times New Roman"/>
          <w:sz w:val="24"/>
          <w:szCs w:val="24"/>
        </w:rPr>
        <w:t xml:space="preserve">. 3. § q. </w:t>
      </w:r>
      <w:proofErr w:type="gramStart"/>
      <w:r w:rsidRPr="00286FAA">
        <w:rPr>
          <w:rFonts w:ascii="Times New Roman" w:hAnsi="Times New Roman" w:cs="Times New Roman"/>
          <w:sz w:val="24"/>
          <w:szCs w:val="24"/>
        </w:rPr>
        <w:t>pontja</w:t>
      </w:r>
      <w:proofErr w:type="gramEnd"/>
      <w:r w:rsidRPr="00286FAA">
        <w:rPr>
          <w:rFonts w:ascii="Times New Roman" w:hAnsi="Times New Roman" w:cs="Times New Roman"/>
          <w:sz w:val="24"/>
          <w:szCs w:val="24"/>
        </w:rPr>
        <w:t xml:space="preserve"> alapján). A társaság a távhőszolgáltatás tevékenységéhez rendeli</w:t>
      </w:r>
      <w:r w:rsidRPr="00286FAA">
        <w:rPr>
          <w:rFonts w:ascii="Times New Roman" w:hAnsi="Times New Roman" w:cs="Times New Roman"/>
          <w:color w:val="222222"/>
          <w:sz w:val="19"/>
          <w:szCs w:val="19"/>
          <w:shd w:val="clear" w:color="auto" w:fill="FFFFFF"/>
        </w:rPr>
        <w:t xml:space="preserve"> </w:t>
      </w:r>
      <w:r w:rsidRPr="00286FAA">
        <w:rPr>
          <w:rFonts w:ascii="Times New Roman" w:hAnsi="Times New Roman" w:cs="Times New Roman"/>
          <w:sz w:val="24"/>
          <w:szCs w:val="24"/>
        </w:rPr>
        <w:t xml:space="preserve">a Dunakeszi, Tallér úti kazánházban telepített keringető szivattyúkat, a </w:t>
      </w:r>
      <w:proofErr w:type="spellStart"/>
      <w:r w:rsidRPr="00286FAA">
        <w:rPr>
          <w:rFonts w:ascii="Times New Roman" w:hAnsi="Times New Roman" w:cs="Times New Roman"/>
          <w:sz w:val="24"/>
          <w:szCs w:val="24"/>
        </w:rPr>
        <w:t>távhő</w:t>
      </w:r>
      <w:proofErr w:type="spellEnd"/>
      <w:r w:rsidRPr="00286FAA">
        <w:rPr>
          <w:rFonts w:ascii="Times New Roman" w:hAnsi="Times New Roman" w:cs="Times New Roman"/>
          <w:sz w:val="24"/>
          <w:szCs w:val="24"/>
        </w:rPr>
        <w:t xml:space="preserve"> hálózatot, a </w:t>
      </w:r>
      <w:proofErr w:type="spellStart"/>
      <w:r w:rsidRPr="00286FAA">
        <w:rPr>
          <w:rFonts w:ascii="Times New Roman" w:hAnsi="Times New Roman" w:cs="Times New Roman"/>
          <w:sz w:val="24"/>
          <w:szCs w:val="24"/>
        </w:rPr>
        <w:t>hőközpontokat</w:t>
      </w:r>
      <w:proofErr w:type="spellEnd"/>
      <w:r w:rsidRPr="00286FAA">
        <w:rPr>
          <w:rFonts w:ascii="Times New Roman" w:hAnsi="Times New Roman" w:cs="Times New Roman"/>
          <w:sz w:val="24"/>
          <w:szCs w:val="24"/>
        </w:rPr>
        <w:t xml:space="preserve"> külön-külön a fűtés és </w:t>
      </w:r>
      <w:proofErr w:type="spellStart"/>
      <w:r w:rsidRPr="00286FAA">
        <w:rPr>
          <w:rFonts w:ascii="Times New Roman" w:hAnsi="Times New Roman" w:cs="Times New Roman"/>
          <w:sz w:val="24"/>
          <w:szCs w:val="24"/>
        </w:rPr>
        <w:t>melegvíz</w:t>
      </w:r>
      <w:proofErr w:type="spellEnd"/>
      <w:r w:rsidRPr="00286FAA">
        <w:rPr>
          <w:rFonts w:ascii="Times New Roman" w:hAnsi="Times New Roman" w:cs="Times New Roman"/>
          <w:sz w:val="24"/>
          <w:szCs w:val="24"/>
        </w:rPr>
        <w:t xml:space="preserve"> ellátáshoz szükséges hőmennyiségmérőkkel, szivattyúkkal, elzáró szerelvényekkel, szabályozó szelepekkel, és az ezeket működtető vezérléssel, villamos rendszerrel. Tulajdoni határ minden esetben a </w:t>
      </w:r>
      <w:proofErr w:type="spellStart"/>
      <w:r w:rsidRPr="00286FAA">
        <w:rPr>
          <w:rFonts w:ascii="Times New Roman" w:hAnsi="Times New Roman" w:cs="Times New Roman"/>
          <w:sz w:val="24"/>
          <w:szCs w:val="24"/>
        </w:rPr>
        <w:t>hőközpont</w:t>
      </w:r>
      <w:proofErr w:type="spellEnd"/>
      <w:r w:rsidRPr="00286FAA">
        <w:rPr>
          <w:rFonts w:ascii="Times New Roman" w:hAnsi="Times New Roman" w:cs="Times New Roman"/>
          <w:sz w:val="24"/>
          <w:szCs w:val="24"/>
        </w:rPr>
        <w:t xml:space="preserve"> kilépő pontján az utolsó elzáró szerelvény.</w:t>
      </w:r>
    </w:p>
    <w:p w:rsidR="008B36BA" w:rsidRPr="00286FAA" w:rsidRDefault="008B36BA" w:rsidP="003F0646">
      <w:pPr>
        <w:pStyle w:val="NormlWeb"/>
        <w:shd w:val="clear" w:color="auto" w:fill="FFFFFF"/>
        <w:spacing w:line="288" w:lineRule="auto"/>
        <w:jc w:val="both"/>
        <w:rPr>
          <w:rFonts w:ascii="Times New Roman" w:hAnsi="Times New Roman"/>
        </w:rPr>
      </w:pPr>
      <w:proofErr w:type="gramStart"/>
      <w:r w:rsidRPr="00286FAA">
        <w:rPr>
          <w:rFonts w:ascii="Times New Roman" w:hAnsi="Times New Roman"/>
          <w:b/>
          <w:bCs/>
        </w:rPr>
        <w:t>távhőtermelés</w:t>
      </w:r>
      <w:proofErr w:type="gramEnd"/>
      <w:r w:rsidRPr="00286FAA">
        <w:rPr>
          <w:rFonts w:ascii="Times New Roman" w:hAnsi="Times New Roman"/>
          <w:b/>
          <w:bCs/>
        </w:rPr>
        <w:t>:</w:t>
      </w:r>
      <w:r w:rsidRPr="00286FAA">
        <w:rPr>
          <w:rFonts w:ascii="Times New Roman" w:hAnsi="Times New Roman"/>
        </w:rPr>
        <w:t xml:space="preserve"> olyan hőenergia előállítása, amelyet a társaság </w:t>
      </w:r>
      <w:proofErr w:type="spellStart"/>
      <w:r w:rsidRPr="00286FAA">
        <w:rPr>
          <w:rFonts w:ascii="Times New Roman" w:hAnsi="Times New Roman"/>
        </w:rPr>
        <w:t>távhőtermelő</w:t>
      </w:r>
      <w:proofErr w:type="spellEnd"/>
      <w:r w:rsidRPr="00286FAA">
        <w:rPr>
          <w:rFonts w:ascii="Times New Roman" w:hAnsi="Times New Roman"/>
        </w:rPr>
        <w:t xml:space="preserve"> létesítményeiből hőhordozó közeg (gőz, melegített víz) alkalmazásával </w:t>
      </w:r>
      <w:proofErr w:type="spellStart"/>
      <w:r w:rsidRPr="00286FAA">
        <w:rPr>
          <w:rFonts w:ascii="Times New Roman" w:hAnsi="Times New Roman"/>
        </w:rPr>
        <w:t>távhővezeték-hálózaton</w:t>
      </w:r>
      <w:proofErr w:type="spellEnd"/>
      <w:r w:rsidRPr="00286FAA">
        <w:rPr>
          <w:rFonts w:ascii="Times New Roman" w:hAnsi="Times New Roman"/>
        </w:rPr>
        <w:t xml:space="preserve"> keresztül, üzletszerű tevékenység keretében a felhasználási helyre eljuttat ( a </w:t>
      </w:r>
      <w:proofErr w:type="spellStart"/>
      <w:r w:rsidRPr="00286FAA">
        <w:rPr>
          <w:rFonts w:ascii="Times New Roman" w:hAnsi="Times New Roman"/>
        </w:rPr>
        <w:t>Tszt</w:t>
      </w:r>
      <w:proofErr w:type="spellEnd"/>
      <w:r w:rsidRPr="00286FAA">
        <w:rPr>
          <w:rFonts w:ascii="Times New Roman" w:hAnsi="Times New Roman"/>
        </w:rPr>
        <w:t>. 3.§ p</w:t>
      </w:r>
      <w:proofErr w:type="gramStart"/>
      <w:r w:rsidRPr="00286FAA">
        <w:rPr>
          <w:rFonts w:ascii="Times New Roman" w:hAnsi="Times New Roman"/>
        </w:rPr>
        <w:t>,s</w:t>
      </w:r>
      <w:proofErr w:type="gramEnd"/>
      <w:r w:rsidRPr="00286FAA">
        <w:rPr>
          <w:rFonts w:ascii="Times New Roman" w:hAnsi="Times New Roman"/>
        </w:rPr>
        <w:t xml:space="preserve">,t. pontjai alapján). </w:t>
      </w:r>
      <w:proofErr w:type="gramStart"/>
      <w:r w:rsidRPr="00286FAA">
        <w:rPr>
          <w:rFonts w:ascii="Times New Roman" w:hAnsi="Times New Roman"/>
        </w:rPr>
        <w:t>A társaság a távhőtermelési tevékenységhez rendeli a Dunakeszi Tallér úti kazánházban található gépészeti berendezések (hő-termelő berendezések, szivattyúk, csővezetékek, szabályozó szelepek, elzáró szerelvények, stb.) összességét, kivéve a távvezetéki keringetést biztosító szivattyúkat, továbbá a Dunakeszi Tallér úti kazánházban telepített felügyeleti rendszert, a kazánházat felügyelő, vezérlő részt, kivéve a távvezetéki keringetést biztosító szivattyúk vezérlését, illetőleg a Dunakeszi Tallér úti kazánházban a gépészeti berendezések működtetéséhez szükséges villamos rendszert, kivéve a távvezetéki</w:t>
      </w:r>
      <w:proofErr w:type="gramEnd"/>
      <w:r w:rsidRPr="00286FAA">
        <w:rPr>
          <w:rFonts w:ascii="Times New Roman" w:hAnsi="Times New Roman"/>
        </w:rPr>
        <w:t xml:space="preserve"> </w:t>
      </w:r>
      <w:proofErr w:type="gramStart"/>
      <w:r w:rsidRPr="00286FAA">
        <w:rPr>
          <w:rFonts w:ascii="Times New Roman" w:hAnsi="Times New Roman"/>
        </w:rPr>
        <w:t>keringetést</w:t>
      </w:r>
      <w:proofErr w:type="gramEnd"/>
      <w:r w:rsidRPr="00286FAA">
        <w:rPr>
          <w:rFonts w:ascii="Times New Roman" w:hAnsi="Times New Roman"/>
        </w:rPr>
        <w:t xml:space="preserve"> biztosító szivattyúk villamos berendezéseit.</w:t>
      </w:r>
    </w:p>
    <w:p w:rsidR="008B36BA" w:rsidRPr="00286FAA" w:rsidRDefault="008B36BA" w:rsidP="003F0646">
      <w:pPr>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kegyeleti</w:t>
      </w:r>
      <w:proofErr w:type="gramEnd"/>
      <w:r w:rsidRPr="00286FAA">
        <w:rPr>
          <w:rFonts w:ascii="Times New Roman" w:hAnsi="Times New Roman" w:cs="Times New Roman"/>
          <w:b/>
          <w:bCs/>
          <w:sz w:val="24"/>
          <w:szCs w:val="24"/>
        </w:rPr>
        <w:t xml:space="preserve"> közszolgáltatás:</w:t>
      </w:r>
      <w:r w:rsidRPr="00286FAA">
        <w:rPr>
          <w:rFonts w:ascii="Times New Roman" w:hAnsi="Times New Roman" w:cs="Times New Roman"/>
          <w:sz w:val="24"/>
          <w:szCs w:val="24"/>
        </w:rPr>
        <w:t xml:space="preserve"> a köztemető fenntartását, továbbá üzemeltetését magába foglaló egyéni és közösségi kegyeleti célú, az elhunyt emlékének megőrzésére irányuló önkormányzati tevékenységek összessége (a Tt. 3.§ h. </w:t>
      </w:r>
      <w:proofErr w:type="gramStart"/>
      <w:r w:rsidRPr="00286FAA">
        <w:rPr>
          <w:rFonts w:ascii="Times New Roman" w:hAnsi="Times New Roman" w:cs="Times New Roman"/>
          <w:sz w:val="24"/>
          <w:szCs w:val="24"/>
        </w:rPr>
        <w:t>pontja</w:t>
      </w:r>
      <w:proofErr w:type="gramEnd"/>
      <w:r w:rsidRPr="00286FAA">
        <w:rPr>
          <w:rFonts w:ascii="Times New Roman" w:hAnsi="Times New Roman" w:cs="Times New Roman"/>
          <w:sz w:val="24"/>
          <w:szCs w:val="24"/>
        </w:rPr>
        <w:t xml:space="preserve">, és a 13.-16.§ alapján). A társaság kegyeleti közszolgáltatási tevékenysége kiterjed a Dunakeszi Fóti út 93. szám alatt található köztemető, a Fóti úti kegyeleti park és a régi </w:t>
      </w:r>
      <w:proofErr w:type="spellStart"/>
      <w:r w:rsidRPr="00286FAA">
        <w:rPr>
          <w:rFonts w:ascii="Times New Roman" w:hAnsi="Times New Roman" w:cs="Times New Roman"/>
          <w:sz w:val="24"/>
          <w:szCs w:val="24"/>
        </w:rPr>
        <w:t>alagi</w:t>
      </w:r>
      <w:proofErr w:type="spellEnd"/>
      <w:r w:rsidRPr="00286FAA">
        <w:rPr>
          <w:rFonts w:ascii="Times New Roman" w:hAnsi="Times New Roman" w:cs="Times New Roman"/>
          <w:sz w:val="24"/>
          <w:szCs w:val="24"/>
        </w:rPr>
        <w:t xml:space="preserve"> temető fenntartására és üzemeltetésére is. </w:t>
      </w:r>
    </w:p>
    <w:p w:rsidR="008B36BA" w:rsidRPr="00286FAA" w:rsidRDefault="008B36BA" w:rsidP="003F0646">
      <w:pPr>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lastRenderedPageBreak/>
        <w:t>hulladékgazdálkodási</w:t>
      </w:r>
      <w:proofErr w:type="gramEnd"/>
      <w:r w:rsidRPr="00286FAA">
        <w:rPr>
          <w:rFonts w:ascii="Times New Roman" w:hAnsi="Times New Roman" w:cs="Times New Roman"/>
          <w:b/>
          <w:bCs/>
          <w:sz w:val="24"/>
          <w:szCs w:val="24"/>
        </w:rPr>
        <w:t xml:space="preserve"> közszolgáltatás:</w:t>
      </w:r>
      <w:r w:rsidRPr="00286FAA">
        <w:rPr>
          <w:rFonts w:ascii="Times New Roman" w:hAnsi="Times New Roman" w:cs="Times New Roman"/>
          <w:sz w:val="24"/>
          <w:szCs w:val="24"/>
        </w:rPr>
        <w:t xml:space="preserve"> a közszolgáltatás körébe tartozó hulladék átvételét, gyűjtését, elszállítását, kezelését, valamint a hulladékgazdálkodási közszolgáltatással érintett hulladékgazdálkodási létesítmény fenntartását, üzemeltetését, vagyonkezelését és a hulladékgazdálkodási közszolgáltatás országos szintű megszervezését biztosító, kötelező jelleggel igénybe veendő szolgáltatás (a </w:t>
      </w:r>
      <w:proofErr w:type="spellStart"/>
      <w:r w:rsidRPr="00286FAA">
        <w:rPr>
          <w:rFonts w:ascii="Times New Roman" w:hAnsi="Times New Roman" w:cs="Times New Roman"/>
          <w:sz w:val="24"/>
          <w:szCs w:val="24"/>
        </w:rPr>
        <w:t>Ht</w:t>
      </w:r>
      <w:proofErr w:type="spellEnd"/>
      <w:r w:rsidRPr="00286FAA">
        <w:rPr>
          <w:rFonts w:ascii="Times New Roman" w:hAnsi="Times New Roman" w:cs="Times New Roman"/>
          <w:sz w:val="24"/>
          <w:szCs w:val="24"/>
        </w:rPr>
        <w:t>. 2.§ (1) bekezdés 27</w:t>
      </w:r>
      <w:proofErr w:type="gramStart"/>
      <w:r w:rsidRPr="00286FAA">
        <w:rPr>
          <w:rFonts w:ascii="Times New Roman" w:hAnsi="Times New Roman" w:cs="Times New Roman"/>
          <w:sz w:val="24"/>
          <w:szCs w:val="24"/>
        </w:rPr>
        <w:t>.pontja</w:t>
      </w:r>
      <w:proofErr w:type="gramEnd"/>
      <w:r w:rsidRPr="00286FAA">
        <w:rPr>
          <w:rFonts w:ascii="Times New Roman" w:hAnsi="Times New Roman" w:cs="Times New Roman"/>
          <w:sz w:val="24"/>
          <w:szCs w:val="24"/>
        </w:rPr>
        <w:t xml:space="preserve"> és a 42.§ alapján). A társaság hulladékkezelési közszolgáltatásai Dunakeszi város közigazgatási területén belül a szilárd hulladék és a szelektíven gyűjtött hulladék begyűjtéséhez, elszállításához és kezelőnek történő átadásához kapcsolódnak.</w:t>
      </w:r>
    </w:p>
    <w:p w:rsidR="008B36BA" w:rsidRPr="00286FAA" w:rsidRDefault="008B36BA" w:rsidP="003F0646">
      <w:pPr>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számviteli</w:t>
      </w:r>
      <w:proofErr w:type="gramEnd"/>
      <w:r w:rsidRPr="00286FAA">
        <w:rPr>
          <w:rFonts w:ascii="Times New Roman" w:hAnsi="Times New Roman" w:cs="Times New Roman"/>
          <w:b/>
          <w:bCs/>
          <w:sz w:val="24"/>
          <w:szCs w:val="24"/>
        </w:rPr>
        <w:t xml:space="preserve"> szétválasztás:</w:t>
      </w:r>
      <w:r w:rsidRPr="00286FAA">
        <w:rPr>
          <w:rFonts w:ascii="Times New Roman" w:hAnsi="Times New Roman" w:cs="Times New Roman"/>
          <w:sz w:val="24"/>
          <w:szCs w:val="24"/>
        </w:rPr>
        <w:t xml:space="preserve"> jogszabályi előírások alapján a távhőtermelés, a távhőszolgáltatás, a kegyeleti és hulladékgazdálkodási közszolgáltatásokkal kapcsolatos eszközök és források, bevételek és ráfordítások olyan elkülönített nyilvántartása, amelynek segítségével az egyes tevékenységek úgy mutathatók be a társaság éves beszámolójában, mintha azokat a társaság külön-külön, önálló vállalkozásként végezte volna.</w:t>
      </w:r>
    </w:p>
    <w:p w:rsidR="008B36BA" w:rsidRPr="00286FAA" w:rsidRDefault="008B36BA" w:rsidP="003F0646">
      <w:pPr>
        <w:shd w:val="clear" w:color="auto" w:fill="FFFFFF"/>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közvetlen</w:t>
      </w:r>
      <w:proofErr w:type="gramEnd"/>
      <w:r w:rsidRPr="00286FAA">
        <w:rPr>
          <w:rFonts w:ascii="Times New Roman" w:hAnsi="Times New Roman" w:cs="Times New Roman"/>
          <w:b/>
          <w:bCs/>
          <w:sz w:val="24"/>
          <w:szCs w:val="24"/>
        </w:rPr>
        <w:t xml:space="preserve"> költség:</w:t>
      </w:r>
      <w:r w:rsidRPr="00286FAA">
        <w:rPr>
          <w:rFonts w:ascii="Times New Roman" w:hAnsi="Times New Roman" w:cs="Times New Roman"/>
          <w:sz w:val="24"/>
          <w:szCs w:val="24"/>
        </w:rPr>
        <w:t xml:space="preserve"> az elvégzett, a nyújtott, a teljesített szolgáltatás bekerülési értékének részét azok a költségek képezik, amelyek</w:t>
      </w:r>
    </w:p>
    <w:p w:rsidR="008B36BA" w:rsidRPr="00286FAA" w:rsidRDefault="008B36BA" w:rsidP="003F0646">
      <w:pPr>
        <w:pStyle w:val="Listaszerbekezds"/>
        <w:numPr>
          <w:ilvl w:val="0"/>
          <w:numId w:val="10"/>
        </w:numPr>
        <w:shd w:val="clear" w:color="auto" w:fill="FFFFFF"/>
        <w:jc w:val="both"/>
        <w:rPr>
          <w:rFonts w:ascii="Times New Roman" w:hAnsi="Times New Roman" w:cs="Times New Roman"/>
          <w:sz w:val="24"/>
          <w:szCs w:val="24"/>
        </w:rPr>
      </w:pPr>
      <w:r w:rsidRPr="00286FAA">
        <w:rPr>
          <w:rFonts w:ascii="Times New Roman" w:hAnsi="Times New Roman" w:cs="Times New Roman"/>
          <w:sz w:val="24"/>
          <w:szCs w:val="24"/>
        </w:rPr>
        <w:t>a szolgáltatás végzése, nyújtása, teljesítése során közvetlenül felmerültek,</w:t>
      </w:r>
    </w:p>
    <w:p w:rsidR="008B36BA" w:rsidRPr="00286FAA" w:rsidRDefault="008B36BA" w:rsidP="003F0646">
      <w:pPr>
        <w:pStyle w:val="Listaszerbekezds"/>
        <w:numPr>
          <w:ilvl w:val="0"/>
          <w:numId w:val="10"/>
        </w:numPr>
        <w:shd w:val="clear" w:color="auto" w:fill="FFFFFF"/>
        <w:spacing w:after="0"/>
        <w:jc w:val="both"/>
        <w:rPr>
          <w:rFonts w:ascii="Times New Roman" w:hAnsi="Times New Roman" w:cs="Times New Roman"/>
          <w:sz w:val="24"/>
          <w:szCs w:val="24"/>
        </w:rPr>
      </w:pPr>
      <w:r w:rsidRPr="00286FAA">
        <w:rPr>
          <w:rFonts w:ascii="Times New Roman" w:hAnsi="Times New Roman" w:cs="Times New Roman"/>
          <w:sz w:val="24"/>
          <w:szCs w:val="24"/>
        </w:rPr>
        <w:t>a szolgáltatás végzésével, nyújtásával, teljesítésével szoros kapcsolatban voltak, továbbá</w:t>
      </w:r>
    </w:p>
    <w:p w:rsidR="008B36BA" w:rsidRPr="00286FAA" w:rsidRDefault="008B36BA" w:rsidP="003F0646">
      <w:pPr>
        <w:pStyle w:val="Listaszerbekezds"/>
        <w:numPr>
          <w:ilvl w:val="0"/>
          <w:numId w:val="10"/>
        </w:numPr>
        <w:shd w:val="clear" w:color="auto" w:fill="FFFFFF"/>
        <w:spacing w:after="0"/>
        <w:jc w:val="both"/>
        <w:rPr>
          <w:rFonts w:ascii="Times New Roman" w:hAnsi="Times New Roman" w:cs="Times New Roman"/>
          <w:sz w:val="24"/>
          <w:szCs w:val="24"/>
        </w:rPr>
      </w:pPr>
      <w:r w:rsidRPr="00286FAA">
        <w:rPr>
          <w:rFonts w:ascii="Times New Roman" w:hAnsi="Times New Roman" w:cs="Times New Roman"/>
          <w:sz w:val="24"/>
          <w:szCs w:val="24"/>
        </w:rPr>
        <w:t>a szolgáltatásra megfelelő mutatók, jellemzők segítségével elszámolhatók.</w:t>
      </w:r>
    </w:p>
    <w:p w:rsidR="008B36BA" w:rsidRPr="00286FAA" w:rsidRDefault="008B36BA" w:rsidP="003F0646">
      <w:pPr>
        <w:pStyle w:val="Listaszerbekezds"/>
        <w:shd w:val="clear" w:color="auto" w:fill="FFFFFF"/>
        <w:spacing w:after="0"/>
        <w:jc w:val="both"/>
        <w:rPr>
          <w:rFonts w:ascii="Times New Roman" w:hAnsi="Times New Roman" w:cs="Times New Roman"/>
          <w:sz w:val="24"/>
          <w:szCs w:val="24"/>
        </w:rPr>
      </w:pPr>
    </w:p>
    <w:p w:rsidR="008B36BA" w:rsidRPr="00286FAA" w:rsidRDefault="008B36BA" w:rsidP="003F0646">
      <w:pPr>
        <w:shd w:val="clear" w:color="auto" w:fill="FFFFFF"/>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közvetett</w:t>
      </w:r>
      <w:proofErr w:type="gramEnd"/>
      <w:r w:rsidRPr="00286FAA">
        <w:rPr>
          <w:rFonts w:ascii="Times New Roman" w:hAnsi="Times New Roman" w:cs="Times New Roman"/>
          <w:b/>
          <w:bCs/>
          <w:sz w:val="24"/>
          <w:szCs w:val="24"/>
        </w:rPr>
        <w:t xml:space="preserve"> költségek: </w:t>
      </w:r>
      <w:r w:rsidRPr="00286FAA">
        <w:rPr>
          <w:rFonts w:ascii="Times New Roman" w:hAnsi="Times New Roman" w:cs="Times New Roman"/>
          <w:sz w:val="24"/>
          <w:szCs w:val="24"/>
        </w:rPr>
        <w:t>Közvetettnek tekintünk minden olyan </w:t>
      </w:r>
      <w:hyperlink r:id="rId8" w:tooltip="költség" w:history="1">
        <w:r w:rsidRPr="00286FAA">
          <w:rPr>
            <w:rFonts w:ascii="Times New Roman" w:hAnsi="Times New Roman" w:cs="Times New Roman"/>
            <w:sz w:val="24"/>
            <w:szCs w:val="24"/>
          </w:rPr>
          <w:t>költség</w:t>
        </w:r>
      </w:hyperlink>
      <w:r w:rsidRPr="00286FAA">
        <w:rPr>
          <w:rFonts w:ascii="Times New Roman" w:hAnsi="Times New Roman" w:cs="Times New Roman"/>
          <w:sz w:val="24"/>
          <w:szCs w:val="24"/>
        </w:rPr>
        <w:t>et, amely a társaság  tevékenysége során merül fel, de nem köthető közvetlenül egyik szolgáltatáshoz sem, vagyis amelyek a nyújtott szolgáltatáshoz csak valamely vetítési alap segítségével és közelítő pontossággal rendelhetők hozzá. Sajátosságuk, hogy a termelés területén kívül merülnek fel, vagy esetleg több szolgáltatásra is lehet vonatkoztatni azokat.</w:t>
      </w:r>
    </w:p>
    <w:p w:rsidR="008B36BA" w:rsidRPr="00286FAA" w:rsidRDefault="008B36BA" w:rsidP="003F0646">
      <w:pPr>
        <w:shd w:val="clear" w:color="auto" w:fill="FFFFFF"/>
        <w:jc w:val="both"/>
        <w:rPr>
          <w:rFonts w:ascii="Times New Roman" w:hAnsi="Times New Roman" w:cs="Times New Roman"/>
          <w:sz w:val="24"/>
          <w:szCs w:val="24"/>
        </w:rPr>
      </w:pPr>
      <w:proofErr w:type="gramStart"/>
      <w:r w:rsidRPr="00286FAA">
        <w:rPr>
          <w:rFonts w:ascii="Times New Roman" w:hAnsi="Times New Roman" w:cs="Times New Roman"/>
          <w:b/>
          <w:bCs/>
          <w:sz w:val="24"/>
          <w:szCs w:val="24"/>
        </w:rPr>
        <w:t>vetítési</w:t>
      </w:r>
      <w:proofErr w:type="gramEnd"/>
      <w:r w:rsidRPr="00286FAA">
        <w:rPr>
          <w:rFonts w:ascii="Times New Roman" w:hAnsi="Times New Roman" w:cs="Times New Roman"/>
          <w:b/>
          <w:bCs/>
          <w:sz w:val="24"/>
          <w:szCs w:val="24"/>
        </w:rPr>
        <w:t xml:space="preserve"> alap: </w:t>
      </w:r>
      <w:r w:rsidRPr="00286FAA">
        <w:rPr>
          <w:rFonts w:ascii="Times New Roman" w:hAnsi="Times New Roman" w:cs="Times New Roman"/>
          <w:sz w:val="24"/>
          <w:szCs w:val="24"/>
        </w:rPr>
        <w:t xml:space="preserve">A költségfelosztás során alkalmazott olyan mennyiségi mutató, amely a költségek arányát és nagyságát befolyásolja. </w:t>
      </w:r>
    </w:p>
    <w:p w:rsidR="008B36BA" w:rsidRPr="00286FAA" w:rsidRDefault="008B36BA" w:rsidP="003F0646">
      <w:pPr>
        <w:jc w:val="both"/>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p>
    <w:p w:rsidR="008B36BA" w:rsidRPr="00286FAA" w:rsidRDefault="008B36BA" w:rsidP="003F0646">
      <w:pPr>
        <w:pStyle w:val="Listaszerbekezds"/>
        <w:numPr>
          <w:ilvl w:val="1"/>
          <w:numId w:val="7"/>
        </w:numPr>
        <w:spacing w:after="0"/>
        <w:rPr>
          <w:rFonts w:ascii="Times New Roman" w:hAnsi="Times New Roman" w:cs="Times New Roman"/>
          <w:b/>
          <w:bCs/>
          <w:sz w:val="28"/>
          <w:szCs w:val="28"/>
        </w:rPr>
      </w:pPr>
      <w:r w:rsidRPr="00286FAA">
        <w:rPr>
          <w:rFonts w:ascii="Times New Roman" w:hAnsi="Times New Roman" w:cs="Times New Roman"/>
          <w:b/>
          <w:bCs/>
          <w:sz w:val="28"/>
          <w:szCs w:val="28"/>
        </w:rPr>
        <w:lastRenderedPageBreak/>
        <w:t>Alapelvek</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társaság számviteli rendszerét úgy kell kialakítani, hogy képes legyen az egyes közszolgáltatási tevékenységekből származó bevételeit, ráfordításait, bizonyos eszközeit és azok forrásait tevékenységenként egyértelműen elkülönítetten nyilvántartani.</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közszolgáltatási tevékenységek számviteli szétválasztásánál elsősorban a közvetlen hozzárendelés módszerével kell élni, ezzel is minimalizálva a közvetetten felosztandó tételeket. A tevékenységekhez közvetlenül rendelhető bevételeket és költségeket felmerülésük és realizálódásuk pillanatában, az eszközöket és forrásokat bekerülésükkor az adott tevékenységhez kell rendelni.</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közvetetten felosztandó tételek esetében a felosztási módszertannak szakmailag megalapozottan, nyomon követhető és ellenőrizhető módon kell a beszámoló elkészítését segítenie. A költség-, eszköz- és forrásfelosztásnál olyan vetítési alapot kell választani, amellyel az ok-okozatiság elvét a lehető legnagyobb mértékben megközelítve lehet a felosztást elvégezni.</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Az Szt. 14-15.§</w:t>
      </w:r>
      <w:proofErr w:type="spellStart"/>
      <w:r w:rsidRPr="00286FAA">
        <w:rPr>
          <w:rFonts w:ascii="Times New Roman" w:hAnsi="Times New Roman" w:cs="Times New Roman"/>
          <w:sz w:val="24"/>
          <w:szCs w:val="24"/>
        </w:rPr>
        <w:t>-aiban</w:t>
      </w:r>
      <w:proofErr w:type="spellEnd"/>
      <w:r w:rsidRPr="00286FAA">
        <w:rPr>
          <w:rFonts w:ascii="Times New Roman" w:hAnsi="Times New Roman" w:cs="Times New Roman"/>
          <w:sz w:val="24"/>
          <w:szCs w:val="24"/>
        </w:rPr>
        <w:t xml:space="preserve"> szereplő számviteli alapelvek betartása mellett a számviteli szétválasztásnál a következő alapelveket is alkalmazni kell:</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A szabályzatban megfogalmazott eljárásokra és módszerekre nézve olyan módon kell biztosítani az állandóságot, hogy amennyiben a külső körülményekben bekövetkezett változások, a számviteli szétválasztás során szerzett tapasztalatok vagy az alkalmazhatóság javítása ezt szükségessé teszik, szabályzat módosításával kell lehetővé tenni azt, hogy az 1.1. pontban megfogalmazott célok minél hatékonyabban és eredményesebben megvalósulhassanak. (az állandóság és rugalmasság elve)</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A számviteli szétválasztás szabályait úgy kell alkalmazni, hogy az egyes lépések részeredményei, valamint a folyamat teljes menete nyomon követhető, áttekinthető és rekonstruálható legyen. A szabályzatnak megfelelően végrehajtott költség-hozzárendeléseket lehetőleg egyszerű szabályok szerint kell végrehajtani. (az áttekinthetőség és egyszerűség elve)</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A szabályzatban megfogalmazott követelményeket értelemszerűen úgy kell alkalmazni, hogy alkalmazásuk az 1.1. pontban megfogalmazott célokat elősegítse. Amennyiben a szabályzat rendelkezései valamely tétel szétválasztására nem adnak meghatározást, akkor úgy kell eljárni, hogy a választott lépések minél jobban szolgálják az 1.1. pontban meghatározott célok megvalósulását. (a célszerűség elve)</w:t>
      </w:r>
    </w:p>
    <w:p w:rsidR="008B36BA" w:rsidRPr="00286FAA" w:rsidRDefault="008B36BA" w:rsidP="00286FAA">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lastRenderedPageBreak/>
        <w:t>A szabályzatnak megfelelően végrehajtott költség-hozzárendeléseket követően a társaságnál nem maradhat fel nem osztott, azaz valamilyen közszolgáltatási vagy egyéb tevékenységhez nem rendelt költség</w:t>
      </w:r>
      <w:r w:rsidR="00F62B50">
        <w:rPr>
          <w:rFonts w:ascii="Times New Roman" w:hAnsi="Times New Roman" w:cs="Times New Roman"/>
          <w:sz w:val="24"/>
          <w:szCs w:val="24"/>
        </w:rPr>
        <w:t>.</w:t>
      </w:r>
      <w:r w:rsidRPr="00286FAA">
        <w:rPr>
          <w:rFonts w:ascii="Times New Roman" w:hAnsi="Times New Roman" w:cs="Times New Roman"/>
          <w:sz w:val="24"/>
          <w:szCs w:val="24"/>
        </w:rPr>
        <w:t xml:space="preserve"> (teljes körűség elve). </w:t>
      </w:r>
    </w:p>
    <w:p w:rsidR="008B36BA" w:rsidRPr="00286FAA" w:rsidRDefault="008B36BA" w:rsidP="003F0646">
      <w:pPr>
        <w:pStyle w:val="Listaszerbekezds"/>
        <w:numPr>
          <w:ilvl w:val="0"/>
          <w:numId w:val="7"/>
        </w:numPr>
        <w:spacing w:after="0"/>
        <w:rPr>
          <w:rFonts w:ascii="Times New Roman" w:hAnsi="Times New Roman" w:cs="Times New Roman"/>
          <w:b/>
          <w:bCs/>
          <w:sz w:val="28"/>
          <w:szCs w:val="28"/>
        </w:rPr>
      </w:pPr>
      <w:r w:rsidRPr="00286FAA">
        <w:rPr>
          <w:rFonts w:ascii="Times New Roman" w:hAnsi="Times New Roman" w:cs="Times New Roman"/>
          <w:b/>
          <w:bCs/>
          <w:sz w:val="28"/>
          <w:szCs w:val="28"/>
        </w:rPr>
        <w:t>A mérleg tételeinek szétválasztása</w:t>
      </w:r>
    </w:p>
    <w:p w:rsidR="008B36BA" w:rsidRPr="00286FAA" w:rsidRDefault="008B36BA" w:rsidP="003F0646">
      <w:pPr>
        <w:spacing w:after="0"/>
        <w:rPr>
          <w:rFonts w:ascii="Times New Roman" w:hAnsi="Times New Roman" w:cs="Times New Roman"/>
          <w:b/>
          <w:bCs/>
          <w:sz w:val="28"/>
          <w:szCs w:val="28"/>
        </w:rPr>
      </w:pP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t>A mérleg összeállításának általános alapelvei</w:t>
      </w:r>
    </w:p>
    <w:p w:rsidR="008B36BA" w:rsidRPr="00286FAA" w:rsidRDefault="008B36BA" w:rsidP="003F0646">
      <w:pPr>
        <w:spacing w:after="0"/>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társaság az üzleti év végén, könyvviteli zárlatát követően az éves beszámolójában szereplő mérlegéből az alábbi öt tevékenységi mérleget készíti el:</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távhőtermelés mérlege,</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távhőszolgáltatás mérlege,</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hulladékkezelési közszolgáltatás mérlege,</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temetőfenntartás és üzemeltetés mérlege,</w:t>
      </w:r>
    </w:p>
    <w:p w:rsidR="008B36BA" w:rsidRPr="00286FAA" w:rsidRDefault="008B36BA" w:rsidP="00286FAA">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egyéb tevékenységek mérlege.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távhőtermelés és távhőszolgáltatás mérlege két lépésben kerül elkészítésre. Először a társasági mérlegből a </w:t>
      </w:r>
      <w:proofErr w:type="spellStart"/>
      <w:r w:rsidRPr="00286FAA">
        <w:rPr>
          <w:rFonts w:ascii="Times New Roman" w:hAnsi="Times New Roman" w:cs="Times New Roman"/>
          <w:sz w:val="24"/>
          <w:szCs w:val="24"/>
        </w:rPr>
        <w:t>távhőágazat</w:t>
      </w:r>
      <w:proofErr w:type="spellEnd"/>
      <w:r w:rsidRPr="00286FAA">
        <w:rPr>
          <w:rFonts w:ascii="Times New Roman" w:hAnsi="Times New Roman" w:cs="Times New Roman"/>
          <w:sz w:val="24"/>
          <w:szCs w:val="24"/>
        </w:rPr>
        <w:t xml:space="preserve"> mérlegét készítjük el, majd a </w:t>
      </w:r>
      <w:proofErr w:type="spellStart"/>
      <w:r w:rsidRPr="00286FAA">
        <w:rPr>
          <w:rFonts w:ascii="Times New Roman" w:hAnsi="Times New Roman" w:cs="Times New Roman"/>
          <w:sz w:val="24"/>
          <w:szCs w:val="24"/>
        </w:rPr>
        <w:t>távhőágazati</w:t>
      </w:r>
      <w:proofErr w:type="spellEnd"/>
      <w:r w:rsidRPr="00286FAA">
        <w:rPr>
          <w:rFonts w:ascii="Times New Roman" w:hAnsi="Times New Roman" w:cs="Times New Roman"/>
          <w:sz w:val="24"/>
          <w:szCs w:val="24"/>
        </w:rPr>
        <w:t xml:space="preserve"> mérleget bontjuk szét a két elkülönített tevékenység mérlegére. A társasági mérlegből, a </w:t>
      </w:r>
      <w:proofErr w:type="spellStart"/>
      <w:r w:rsidRPr="00286FAA">
        <w:rPr>
          <w:rFonts w:ascii="Times New Roman" w:hAnsi="Times New Roman" w:cs="Times New Roman"/>
          <w:sz w:val="24"/>
          <w:szCs w:val="24"/>
        </w:rPr>
        <w:t>távhőágazati</w:t>
      </w:r>
      <w:proofErr w:type="spellEnd"/>
      <w:r w:rsidRPr="00286FAA">
        <w:rPr>
          <w:rFonts w:ascii="Times New Roman" w:hAnsi="Times New Roman" w:cs="Times New Roman"/>
          <w:sz w:val="24"/>
          <w:szCs w:val="24"/>
        </w:rPr>
        <w:t xml:space="preserve"> mérlegből az egyedi mérlegeket a 2.2-2.6. pontban rögzített szabályok szerinti szétválasztással kell elkészíteni. A szétválasztás során a közvetlen hozzárendelésnek van elsőbbsége, a közvetlenül a tevékenységekhez nem rendelhető vagyonelemek tevékenységekre történő felosztását vetítési alapok segítségével kell elvégezni. A felosztás után a társaság mérlegéből a tevékenységekhez hozzá nem rendelt vagyonelem nem maradhat. </w:t>
      </w:r>
    </w:p>
    <w:p w:rsidR="008B36BA" w:rsidRPr="00286FAA" w:rsidRDefault="008B36BA" w:rsidP="00286FAA">
      <w:pPr>
        <w:jc w:val="both"/>
        <w:rPr>
          <w:rFonts w:ascii="Times New Roman" w:hAnsi="Times New Roman" w:cs="Times New Roman"/>
          <w:sz w:val="24"/>
          <w:szCs w:val="24"/>
        </w:rPr>
      </w:pPr>
      <w:r w:rsidRPr="00286FAA">
        <w:rPr>
          <w:rFonts w:ascii="Times New Roman" w:hAnsi="Times New Roman" w:cs="Times New Roman"/>
          <w:sz w:val="24"/>
          <w:szCs w:val="24"/>
        </w:rPr>
        <w:t>A társaság az elkészített egyedi mérlegéből a közszolgáltatási tevékenységek és a távhőtermelési tevékenység mérlegét éves beszámolójának kiegészítő mellékletében bemutatja, az egyéb tevékenységek mérlegének bemutatására nem kerül sor.</w:t>
      </w:r>
    </w:p>
    <w:p w:rsidR="008B36BA" w:rsidRPr="00286FAA" w:rsidRDefault="008B36BA" w:rsidP="003F0646">
      <w:pPr>
        <w:spacing w:after="0"/>
        <w:rPr>
          <w:rFonts w:ascii="Times New Roman" w:hAnsi="Times New Roman" w:cs="Times New Roman"/>
          <w:sz w:val="24"/>
          <w:szCs w:val="24"/>
        </w:rPr>
      </w:pP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t>Befektetett eszközök elkülönítése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társaság a tulajdonában és használatában, kezelésében lévő tartós anyagi és nem anyagi eszközökről (</w:t>
      </w:r>
      <w:r w:rsidRPr="00286FAA">
        <w:rPr>
          <w:rFonts w:ascii="Times New Roman" w:hAnsi="Times New Roman" w:cs="Times New Roman"/>
          <w:i/>
          <w:iCs/>
          <w:sz w:val="24"/>
          <w:szCs w:val="24"/>
        </w:rPr>
        <w:t>immateriális javak és tárgyi eszközök</w:t>
      </w:r>
      <w:r w:rsidRPr="00286FAA">
        <w:rPr>
          <w:rFonts w:ascii="Times New Roman" w:hAnsi="Times New Roman" w:cs="Times New Roman"/>
          <w:sz w:val="24"/>
          <w:szCs w:val="24"/>
        </w:rPr>
        <w:t>) gépi programban elkülönített analitikus nyilvántartást vezet. Az eszközök aktiválása során munkaszámok megadásával biztosítjuk a tevékenységekhez történő egyedi hozzárendelést. Azon eszközöknél, amelyek több (közszolgáltatási és nem közszolgáltatási tevékenység) végzésében is részt vesznek, felosztást alkalmazunk. A felosztás vetítési alapja a tevékenységek közvetlen költsége.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lastRenderedPageBreak/>
        <w:t xml:space="preserve">A </w:t>
      </w:r>
      <w:r w:rsidRPr="00286FAA">
        <w:rPr>
          <w:rFonts w:ascii="Times New Roman" w:hAnsi="Times New Roman" w:cs="Times New Roman"/>
          <w:i/>
          <w:iCs/>
          <w:sz w:val="24"/>
          <w:szCs w:val="24"/>
        </w:rPr>
        <w:t>befektetett pénzügyi eszközök</w:t>
      </w:r>
      <w:r w:rsidRPr="00286FAA">
        <w:rPr>
          <w:rFonts w:ascii="Times New Roman" w:hAnsi="Times New Roman" w:cs="Times New Roman"/>
          <w:sz w:val="24"/>
          <w:szCs w:val="24"/>
        </w:rPr>
        <w:t xml:space="preserve"> esetében felosztást alkalmazunk, a felosztás alapja az adott közszolgáltatási tevékenységhez köthető immateriális javak, tárgyi eszközök és vevők összege.</w:t>
      </w:r>
    </w:p>
    <w:p w:rsidR="008B36BA" w:rsidRPr="00286FAA" w:rsidRDefault="008B36BA" w:rsidP="003F0646">
      <w:pPr>
        <w:pStyle w:val="Listaszerbekezds"/>
        <w:numPr>
          <w:ilvl w:val="1"/>
          <w:numId w:val="7"/>
        </w:numPr>
        <w:jc w:val="both"/>
        <w:rPr>
          <w:rFonts w:ascii="Times New Roman" w:hAnsi="Times New Roman" w:cs="Times New Roman"/>
          <w:b/>
          <w:bCs/>
          <w:sz w:val="24"/>
          <w:szCs w:val="24"/>
        </w:rPr>
      </w:pPr>
      <w:r w:rsidRPr="00286FAA">
        <w:rPr>
          <w:rFonts w:ascii="Times New Roman" w:hAnsi="Times New Roman" w:cs="Times New Roman"/>
          <w:b/>
          <w:bCs/>
          <w:sz w:val="24"/>
          <w:szCs w:val="24"/>
        </w:rPr>
        <w:t>A Forgóeszközök elkülönítése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Az egyes tevékenységek </w:t>
      </w:r>
      <w:r w:rsidRPr="00286FAA">
        <w:rPr>
          <w:rFonts w:ascii="Times New Roman" w:hAnsi="Times New Roman" w:cs="Times New Roman"/>
          <w:i/>
          <w:iCs/>
          <w:sz w:val="24"/>
          <w:szCs w:val="24"/>
        </w:rPr>
        <w:t>vevőköveteléseinek</w:t>
      </w:r>
      <w:r w:rsidRPr="00286FAA">
        <w:rPr>
          <w:rFonts w:ascii="Times New Roman" w:hAnsi="Times New Roman" w:cs="Times New Roman"/>
          <w:sz w:val="24"/>
          <w:szCs w:val="24"/>
        </w:rPr>
        <w:t xml:space="preserve"> meghatározása tételes vizsgálattal történik. Ennek során a díjprogramok adataiból, illetőleg a könyvelési program munkaszámainak gyűjtése alapján meghatározzuk az egyes szolgáltatásokkal kapcsolatos vevőkövetelések bekerülési értékét, majd az Eszközök és Források Értékelési Szabályzata alapján elvégezzük év végi értékelésüket (behajthatatlan követelések, értékvesztések, visszaírások összegének meghatározása és elszámolása). A peresített követelésekről, valamint az adók módjára behajtható követelésekről az egyes tevékenységekre vonatkozóan elkülönített nyilvántartást vezetünk. A nyilvántartás kiterjed az alábbi követelésekre is:</w:t>
      </w:r>
    </w:p>
    <w:p w:rsidR="008B36BA" w:rsidRPr="00286FAA" w:rsidRDefault="008B36BA" w:rsidP="003F0646">
      <w:pPr>
        <w:shd w:val="clear" w:color="auto" w:fill="FFFFFF"/>
        <w:spacing w:after="0"/>
        <w:jc w:val="both"/>
        <w:rPr>
          <w:rFonts w:ascii="Times New Roman" w:hAnsi="Times New Roman" w:cs="Times New Roman"/>
          <w:sz w:val="24"/>
          <w:szCs w:val="24"/>
        </w:rPr>
      </w:pPr>
      <w:proofErr w:type="gramStart"/>
      <w:r w:rsidRPr="00286FAA">
        <w:rPr>
          <w:rFonts w:ascii="Times New Roman" w:hAnsi="Times New Roman" w:cs="Times New Roman"/>
          <w:sz w:val="24"/>
          <w:szCs w:val="24"/>
        </w:rPr>
        <w:t>a</w:t>
      </w:r>
      <w:proofErr w:type="gramEnd"/>
      <w:r w:rsidRPr="00286FAA">
        <w:rPr>
          <w:rFonts w:ascii="Times New Roman" w:hAnsi="Times New Roman" w:cs="Times New Roman"/>
          <w:sz w:val="24"/>
          <w:szCs w:val="24"/>
        </w:rPr>
        <w:t>) követelések, amelyek a tárgyévben értékesítésre kerültek,</w:t>
      </w:r>
    </w:p>
    <w:p w:rsidR="008B36BA" w:rsidRPr="00286FAA" w:rsidRDefault="008B36BA" w:rsidP="003F0646">
      <w:pPr>
        <w:shd w:val="clear" w:color="auto" w:fill="FFFFFF"/>
        <w:spacing w:after="0"/>
        <w:jc w:val="both"/>
        <w:rPr>
          <w:rFonts w:ascii="Times New Roman" w:hAnsi="Times New Roman" w:cs="Times New Roman"/>
          <w:sz w:val="24"/>
          <w:szCs w:val="24"/>
        </w:rPr>
      </w:pPr>
      <w:r w:rsidRPr="00286FAA">
        <w:rPr>
          <w:rFonts w:ascii="Times New Roman" w:hAnsi="Times New Roman" w:cs="Times New Roman"/>
          <w:sz w:val="24"/>
          <w:szCs w:val="24"/>
        </w:rPr>
        <w:t xml:space="preserve">b) behajthatatlannak minősített követelésekből származó nettó ráfordításra, </w:t>
      </w:r>
    </w:p>
    <w:p w:rsidR="008B36BA" w:rsidRPr="00286FAA" w:rsidRDefault="008B36BA" w:rsidP="003F0646">
      <w:pPr>
        <w:shd w:val="clear" w:color="auto" w:fill="FFFFFF"/>
        <w:spacing w:after="0"/>
        <w:jc w:val="both"/>
        <w:rPr>
          <w:rFonts w:ascii="Times New Roman" w:hAnsi="Times New Roman" w:cs="Times New Roman"/>
          <w:sz w:val="24"/>
          <w:szCs w:val="24"/>
        </w:rPr>
      </w:pPr>
      <w:proofErr w:type="gramStart"/>
      <w:r w:rsidRPr="00286FAA">
        <w:rPr>
          <w:rFonts w:ascii="Times New Roman" w:hAnsi="Times New Roman" w:cs="Times New Roman"/>
          <w:sz w:val="24"/>
          <w:szCs w:val="24"/>
        </w:rPr>
        <w:t>vagyis</w:t>
      </w:r>
      <w:proofErr w:type="gramEnd"/>
      <w:r w:rsidRPr="00286FAA">
        <w:rPr>
          <w:rFonts w:ascii="Times New Roman" w:hAnsi="Times New Roman" w:cs="Times New Roman"/>
          <w:sz w:val="24"/>
          <w:szCs w:val="24"/>
        </w:rPr>
        <w:t xml:space="preserve"> a tárgyévben behajthatatlannak minősített követelések és a már behajthatatlannak minősített követelésekre befolyt összegek egyenlegére,</w:t>
      </w:r>
    </w:p>
    <w:p w:rsidR="008B36BA" w:rsidRPr="00286FAA" w:rsidRDefault="008B36BA" w:rsidP="003F0646">
      <w:pPr>
        <w:shd w:val="clear" w:color="auto" w:fill="FFFFFF"/>
        <w:spacing w:after="0"/>
        <w:jc w:val="both"/>
        <w:rPr>
          <w:rFonts w:ascii="Times New Roman" w:hAnsi="Times New Roman" w:cs="Times New Roman"/>
          <w:sz w:val="24"/>
          <w:szCs w:val="24"/>
        </w:rPr>
      </w:pPr>
      <w:r w:rsidRPr="00286FAA">
        <w:rPr>
          <w:rFonts w:ascii="Times New Roman" w:hAnsi="Times New Roman" w:cs="Times New Roman"/>
          <w:sz w:val="24"/>
          <w:szCs w:val="24"/>
        </w:rPr>
        <w:t>c) az elengedett követelésekre és az ebből származó ráfordításokra,</w:t>
      </w:r>
    </w:p>
    <w:p w:rsidR="008B36BA" w:rsidRPr="00286FAA" w:rsidRDefault="008B36BA" w:rsidP="003F0646">
      <w:pPr>
        <w:shd w:val="clear" w:color="auto" w:fill="FFFFFF"/>
        <w:spacing w:after="0"/>
        <w:jc w:val="both"/>
        <w:rPr>
          <w:rFonts w:ascii="Times New Roman" w:hAnsi="Times New Roman" w:cs="Times New Roman"/>
          <w:sz w:val="24"/>
          <w:szCs w:val="24"/>
        </w:rPr>
      </w:pPr>
      <w:r w:rsidRPr="00286FAA">
        <w:rPr>
          <w:rFonts w:ascii="Times New Roman" w:hAnsi="Times New Roman" w:cs="Times New Roman"/>
          <w:sz w:val="24"/>
          <w:szCs w:val="24"/>
        </w:rPr>
        <w:t>d) adók módjára behajtható, de még behajtásra át nem adott követelésekre,</w:t>
      </w:r>
    </w:p>
    <w:p w:rsidR="008B36BA" w:rsidRPr="00286FAA" w:rsidRDefault="008B36BA" w:rsidP="003F0646">
      <w:pPr>
        <w:shd w:val="clear" w:color="auto" w:fill="FFFFFF"/>
        <w:spacing w:after="0"/>
        <w:jc w:val="both"/>
        <w:rPr>
          <w:rFonts w:ascii="Times New Roman" w:hAnsi="Times New Roman" w:cs="Times New Roman"/>
          <w:sz w:val="24"/>
          <w:szCs w:val="24"/>
        </w:rPr>
      </w:pPr>
      <w:proofErr w:type="gramStart"/>
      <w:r w:rsidRPr="00286FAA">
        <w:rPr>
          <w:rFonts w:ascii="Times New Roman" w:hAnsi="Times New Roman" w:cs="Times New Roman"/>
          <w:sz w:val="24"/>
          <w:szCs w:val="24"/>
        </w:rPr>
        <w:t>e</w:t>
      </w:r>
      <w:proofErr w:type="gramEnd"/>
      <w:r w:rsidRPr="00286FAA">
        <w:rPr>
          <w:rFonts w:ascii="Times New Roman" w:hAnsi="Times New Roman" w:cs="Times New Roman"/>
          <w:sz w:val="24"/>
          <w:szCs w:val="24"/>
        </w:rPr>
        <w:t>) adók módjára behajtható és behajtásra átadott követelésekre.</w:t>
      </w:r>
    </w:p>
    <w:p w:rsidR="008B36BA" w:rsidRPr="00286FAA" w:rsidRDefault="008B36BA" w:rsidP="003F0646">
      <w:pPr>
        <w:shd w:val="clear" w:color="auto" w:fill="FFFFFF"/>
        <w:spacing w:after="0"/>
        <w:jc w:val="both"/>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w:t>
      </w:r>
      <w:r w:rsidRPr="00286FAA">
        <w:rPr>
          <w:rFonts w:ascii="Times New Roman" w:hAnsi="Times New Roman" w:cs="Times New Roman"/>
          <w:i/>
          <w:iCs/>
          <w:sz w:val="24"/>
          <w:szCs w:val="24"/>
        </w:rPr>
        <w:t>vevőkön kívüli követelések</w:t>
      </w:r>
      <w:r w:rsidRPr="00286FAA">
        <w:rPr>
          <w:rFonts w:ascii="Times New Roman" w:hAnsi="Times New Roman" w:cs="Times New Roman"/>
          <w:sz w:val="24"/>
          <w:szCs w:val="24"/>
        </w:rPr>
        <w:t xml:space="preserve">, a </w:t>
      </w:r>
      <w:r w:rsidRPr="00286FAA">
        <w:rPr>
          <w:rFonts w:ascii="Times New Roman" w:hAnsi="Times New Roman" w:cs="Times New Roman"/>
          <w:i/>
          <w:iCs/>
          <w:sz w:val="24"/>
          <w:szCs w:val="24"/>
        </w:rPr>
        <w:t>készletek</w:t>
      </w:r>
      <w:r w:rsidRPr="00286FAA">
        <w:rPr>
          <w:rFonts w:ascii="Times New Roman" w:hAnsi="Times New Roman" w:cs="Times New Roman"/>
          <w:sz w:val="24"/>
          <w:szCs w:val="24"/>
        </w:rPr>
        <w:t xml:space="preserve">, az </w:t>
      </w:r>
      <w:r w:rsidRPr="00286FAA">
        <w:rPr>
          <w:rFonts w:ascii="Times New Roman" w:hAnsi="Times New Roman" w:cs="Times New Roman"/>
          <w:i/>
          <w:iCs/>
          <w:sz w:val="24"/>
          <w:szCs w:val="24"/>
        </w:rPr>
        <w:t>értékpapírok</w:t>
      </w:r>
      <w:r w:rsidRPr="00286FAA">
        <w:rPr>
          <w:rFonts w:ascii="Times New Roman" w:hAnsi="Times New Roman" w:cs="Times New Roman"/>
          <w:sz w:val="24"/>
          <w:szCs w:val="24"/>
        </w:rPr>
        <w:t xml:space="preserve"> és a </w:t>
      </w:r>
      <w:r w:rsidRPr="00286FAA">
        <w:rPr>
          <w:rFonts w:ascii="Times New Roman" w:hAnsi="Times New Roman" w:cs="Times New Roman"/>
          <w:i/>
          <w:iCs/>
          <w:sz w:val="24"/>
          <w:szCs w:val="24"/>
        </w:rPr>
        <w:t>pénzeszközök</w:t>
      </w:r>
      <w:r w:rsidRPr="00286FAA">
        <w:rPr>
          <w:rFonts w:ascii="Times New Roman" w:hAnsi="Times New Roman" w:cs="Times New Roman"/>
          <w:sz w:val="24"/>
          <w:szCs w:val="24"/>
        </w:rPr>
        <w:t xml:space="preserve"> esetében felosztást alkalmazunk, a felosztás alapja az adott közszolgáltatási tevékenységhez köthető immateriális javak, tárgyi eszközök és vevők összege.</w:t>
      </w:r>
    </w:p>
    <w:p w:rsidR="008B36BA" w:rsidRPr="00286FAA" w:rsidRDefault="008B36BA" w:rsidP="003F0646">
      <w:pPr>
        <w:pStyle w:val="Listaszerbekezds"/>
        <w:numPr>
          <w:ilvl w:val="1"/>
          <w:numId w:val="7"/>
        </w:numPr>
        <w:jc w:val="both"/>
        <w:rPr>
          <w:rFonts w:ascii="Times New Roman" w:hAnsi="Times New Roman" w:cs="Times New Roman"/>
          <w:b/>
          <w:bCs/>
          <w:sz w:val="24"/>
          <w:szCs w:val="24"/>
        </w:rPr>
      </w:pPr>
      <w:r w:rsidRPr="00286FAA">
        <w:rPr>
          <w:rFonts w:ascii="Times New Roman" w:hAnsi="Times New Roman" w:cs="Times New Roman"/>
          <w:b/>
          <w:bCs/>
          <w:sz w:val="24"/>
          <w:szCs w:val="24"/>
        </w:rPr>
        <w:t>Az időbeli elhatárolások szétválasztása</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Az eredményt növelő és csökkentő </w:t>
      </w:r>
      <w:r w:rsidRPr="00286FAA">
        <w:rPr>
          <w:rFonts w:ascii="Times New Roman" w:hAnsi="Times New Roman" w:cs="Times New Roman"/>
          <w:i/>
          <w:iCs/>
          <w:sz w:val="24"/>
          <w:szCs w:val="24"/>
        </w:rPr>
        <w:t>elhatárolások</w:t>
      </w:r>
      <w:r w:rsidRPr="00286FAA">
        <w:rPr>
          <w:rFonts w:ascii="Times New Roman" w:hAnsi="Times New Roman" w:cs="Times New Roman"/>
          <w:sz w:val="24"/>
          <w:szCs w:val="24"/>
        </w:rPr>
        <w:t xml:space="preserve"> esetében felosztást alkalmazunk, a felosztás alapja az adott közszolgáltatási tevékenységhez köthető immateriális javak, tárgyi eszközök és vevők összege.</w:t>
      </w:r>
    </w:p>
    <w:p w:rsidR="008B36BA" w:rsidRPr="00286FAA" w:rsidRDefault="008B36BA" w:rsidP="003F0646">
      <w:pPr>
        <w:pStyle w:val="Listaszerbekezds"/>
        <w:numPr>
          <w:ilvl w:val="1"/>
          <w:numId w:val="7"/>
        </w:numPr>
        <w:jc w:val="both"/>
        <w:rPr>
          <w:rFonts w:ascii="Times New Roman" w:hAnsi="Times New Roman" w:cs="Times New Roman"/>
          <w:b/>
          <w:bCs/>
          <w:sz w:val="24"/>
          <w:szCs w:val="24"/>
        </w:rPr>
      </w:pPr>
      <w:r w:rsidRPr="00286FAA">
        <w:rPr>
          <w:rFonts w:ascii="Times New Roman" w:hAnsi="Times New Roman" w:cs="Times New Roman"/>
          <w:b/>
          <w:bCs/>
          <w:sz w:val="24"/>
          <w:szCs w:val="24"/>
        </w:rPr>
        <w:t>A saját tőke és céltartalék szétválasztása</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tevékenységek </w:t>
      </w:r>
      <w:r w:rsidRPr="00286FAA">
        <w:rPr>
          <w:rFonts w:ascii="Times New Roman" w:hAnsi="Times New Roman" w:cs="Times New Roman"/>
          <w:i/>
          <w:iCs/>
          <w:sz w:val="24"/>
          <w:szCs w:val="24"/>
        </w:rPr>
        <w:t>adózott eredménye</w:t>
      </w:r>
      <w:r w:rsidRPr="00286FAA">
        <w:rPr>
          <w:rFonts w:ascii="Times New Roman" w:hAnsi="Times New Roman" w:cs="Times New Roman"/>
          <w:sz w:val="24"/>
          <w:szCs w:val="24"/>
        </w:rPr>
        <w:t xml:space="preserve"> megegyezik az </w:t>
      </w:r>
      <w:proofErr w:type="spellStart"/>
      <w:r w:rsidRPr="00286FAA">
        <w:rPr>
          <w:rFonts w:ascii="Times New Roman" w:hAnsi="Times New Roman" w:cs="Times New Roman"/>
          <w:sz w:val="24"/>
          <w:szCs w:val="24"/>
        </w:rPr>
        <w:t>eredménykimutatás</w:t>
      </w:r>
      <w:proofErr w:type="spellEnd"/>
      <w:r w:rsidRPr="00286FAA">
        <w:rPr>
          <w:rFonts w:ascii="Times New Roman" w:hAnsi="Times New Roman" w:cs="Times New Roman"/>
          <w:sz w:val="24"/>
          <w:szCs w:val="24"/>
        </w:rPr>
        <w:t xml:space="preserve"> vonatkozó sorával. A </w:t>
      </w:r>
      <w:r w:rsidRPr="00286FAA">
        <w:rPr>
          <w:rFonts w:ascii="Times New Roman" w:hAnsi="Times New Roman" w:cs="Times New Roman"/>
          <w:i/>
          <w:iCs/>
          <w:sz w:val="24"/>
          <w:szCs w:val="24"/>
        </w:rPr>
        <w:t>jegyzett tőke, tőketartalék</w:t>
      </w:r>
      <w:r w:rsidRPr="00286FAA">
        <w:rPr>
          <w:rFonts w:ascii="Times New Roman" w:hAnsi="Times New Roman" w:cs="Times New Roman"/>
          <w:sz w:val="24"/>
          <w:szCs w:val="24"/>
        </w:rPr>
        <w:t xml:space="preserve"> esetében felosztást alkalmazunk, a felosztás alapja a tevékenységek mérlegfőösszegének aránya, amely mérlegfőösszegek az eszközök 2.2-2.4. pontokban leírt szétválasztásából adódnak.</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Az </w:t>
      </w:r>
      <w:r w:rsidRPr="00286FAA">
        <w:rPr>
          <w:rFonts w:ascii="Times New Roman" w:hAnsi="Times New Roman" w:cs="Times New Roman"/>
          <w:i/>
          <w:iCs/>
          <w:sz w:val="24"/>
          <w:szCs w:val="24"/>
        </w:rPr>
        <w:t>eredménytartalék</w:t>
      </w:r>
      <w:r w:rsidRPr="00286FAA">
        <w:rPr>
          <w:rFonts w:ascii="Times New Roman" w:hAnsi="Times New Roman" w:cs="Times New Roman"/>
          <w:sz w:val="24"/>
          <w:szCs w:val="24"/>
        </w:rPr>
        <w:t xml:space="preserve"> összege megegyezik az egyes tevékenységek esetében korábbi években realizált adózott, illetőleg mérleg szerinti eredmények összegével. </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lastRenderedPageBreak/>
        <w:t xml:space="preserve">A </w:t>
      </w:r>
      <w:r w:rsidRPr="00286FAA">
        <w:rPr>
          <w:rFonts w:ascii="Times New Roman" w:hAnsi="Times New Roman" w:cs="Times New Roman"/>
          <w:i/>
          <w:iCs/>
          <w:sz w:val="24"/>
          <w:szCs w:val="24"/>
        </w:rPr>
        <w:t>lekötött tartalék,</w:t>
      </w:r>
      <w:r w:rsidRPr="00286FAA">
        <w:rPr>
          <w:rFonts w:ascii="Times New Roman" w:hAnsi="Times New Roman" w:cs="Times New Roman"/>
          <w:sz w:val="24"/>
          <w:szCs w:val="24"/>
        </w:rPr>
        <w:t xml:space="preserve"> illetőleg a </w:t>
      </w:r>
      <w:r w:rsidRPr="00286FAA">
        <w:rPr>
          <w:rFonts w:ascii="Times New Roman" w:hAnsi="Times New Roman" w:cs="Times New Roman"/>
          <w:i/>
          <w:iCs/>
          <w:sz w:val="24"/>
          <w:szCs w:val="24"/>
        </w:rPr>
        <w:t>céltartalék</w:t>
      </w:r>
      <w:r w:rsidRPr="00286FAA">
        <w:rPr>
          <w:rFonts w:ascii="Times New Roman" w:hAnsi="Times New Roman" w:cs="Times New Roman"/>
          <w:sz w:val="24"/>
          <w:szCs w:val="24"/>
        </w:rPr>
        <w:t xml:space="preserve"> esetében tételes elkülönítést alkalmazunk, a képzés jogcíme szerint rendeljük hozzá az egyes tevékenységekhez a tartalékok összegét.</w:t>
      </w:r>
    </w:p>
    <w:p w:rsidR="008B36BA" w:rsidRPr="00286FAA" w:rsidRDefault="008B36BA" w:rsidP="003F0646">
      <w:pPr>
        <w:pStyle w:val="Listaszerbekezds"/>
        <w:numPr>
          <w:ilvl w:val="1"/>
          <w:numId w:val="7"/>
        </w:numPr>
        <w:jc w:val="both"/>
        <w:rPr>
          <w:rFonts w:ascii="Times New Roman" w:hAnsi="Times New Roman" w:cs="Times New Roman"/>
          <w:b/>
          <w:bCs/>
          <w:sz w:val="24"/>
          <w:szCs w:val="24"/>
        </w:rPr>
      </w:pPr>
      <w:r w:rsidRPr="00286FAA">
        <w:rPr>
          <w:rFonts w:ascii="Times New Roman" w:hAnsi="Times New Roman" w:cs="Times New Roman"/>
          <w:b/>
          <w:bCs/>
          <w:sz w:val="24"/>
          <w:szCs w:val="24"/>
        </w:rPr>
        <w:t>A kötelezettségek szétválasztása</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w:t>
      </w:r>
      <w:r w:rsidRPr="00286FAA">
        <w:rPr>
          <w:rFonts w:ascii="Times New Roman" w:hAnsi="Times New Roman" w:cs="Times New Roman"/>
          <w:i/>
          <w:iCs/>
          <w:sz w:val="24"/>
          <w:szCs w:val="24"/>
        </w:rPr>
        <w:t>hosszú- és rövid lejáratú kötelezettségek</w:t>
      </w:r>
      <w:r w:rsidRPr="00286FAA">
        <w:rPr>
          <w:rFonts w:ascii="Times New Roman" w:hAnsi="Times New Roman" w:cs="Times New Roman"/>
          <w:sz w:val="24"/>
          <w:szCs w:val="24"/>
        </w:rPr>
        <w:t xml:space="preserve"> esetében felosztást alkalmazunk, a felosztás alapja a felosztás alapja a tevékenységek mérlegfőösszegének aránya, amely mérlegfőösszegek az eszközök 2.2-2.4. pontokban leírt szétválasztásából adódnak.</w:t>
      </w:r>
    </w:p>
    <w:p w:rsidR="008B36BA" w:rsidRPr="00286FAA" w:rsidRDefault="008B36BA" w:rsidP="003F0646">
      <w:pPr>
        <w:pStyle w:val="Listaszerbekezds"/>
        <w:numPr>
          <w:ilvl w:val="0"/>
          <w:numId w:val="7"/>
        </w:numPr>
        <w:spacing w:after="0"/>
        <w:rPr>
          <w:rFonts w:ascii="Times New Roman" w:hAnsi="Times New Roman" w:cs="Times New Roman"/>
          <w:b/>
          <w:bCs/>
          <w:sz w:val="28"/>
          <w:szCs w:val="28"/>
        </w:rPr>
      </w:pPr>
      <w:bookmarkStart w:id="6" w:name="_Toc438546510"/>
      <w:r w:rsidRPr="00286FAA">
        <w:rPr>
          <w:rFonts w:ascii="Times New Roman" w:hAnsi="Times New Roman" w:cs="Times New Roman"/>
          <w:b/>
          <w:bCs/>
          <w:sz w:val="28"/>
          <w:szCs w:val="28"/>
        </w:rPr>
        <w:t>Az</w:t>
      </w:r>
      <w:bookmarkEnd w:id="6"/>
      <w:r w:rsidRPr="00286FAA">
        <w:rPr>
          <w:rFonts w:ascii="Times New Roman" w:hAnsi="Times New Roman" w:cs="Times New Roman"/>
          <w:b/>
          <w:bCs/>
          <w:sz w:val="28"/>
          <w:szCs w:val="28"/>
        </w:rPr>
        <w:t xml:space="preserve"> </w:t>
      </w:r>
      <w:proofErr w:type="spellStart"/>
      <w:r w:rsidRPr="00286FAA">
        <w:rPr>
          <w:rFonts w:ascii="Times New Roman" w:hAnsi="Times New Roman" w:cs="Times New Roman"/>
          <w:b/>
          <w:bCs/>
          <w:sz w:val="28"/>
          <w:szCs w:val="28"/>
        </w:rPr>
        <w:t>eredménykimutatás</w:t>
      </w:r>
      <w:proofErr w:type="spellEnd"/>
      <w:r w:rsidRPr="00286FAA">
        <w:rPr>
          <w:rFonts w:ascii="Times New Roman" w:hAnsi="Times New Roman" w:cs="Times New Roman"/>
          <w:b/>
          <w:bCs/>
          <w:sz w:val="28"/>
          <w:szCs w:val="28"/>
        </w:rPr>
        <w:t xml:space="preserve"> tételeinek elkülönítése</w:t>
      </w:r>
    </w:p>
    <w:p w:rsidR="008B36BA" w:rsidRPr="00286FAA" w:rsidRDefault="008B36BA" w:rsidP="003F0646">
      <w:pPr>
        <w:pStyle w:val="Listaszerbekezds"/>
        <w:spacing w:after="0"/>
        <w:rPr>
          <w:rFonts w:ascii="Times New Roman" w:hAnsi="Times New Roman" w:cs="Times New Roman"/>
          <w:b/>
          <w:bCs/>
          <w:sz w:val="28"/>
          <w:szCs w:val="28"/>
        </w:rPr>
      </w:pP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t xml:space="preserve">Az </w:t>
      </w:r>
      <w:proofErr w:type="spellStart"/>
      <w:r w:rsidRPr="00286FAA">
        <w:rPr>
          <w:rFonts w:ascii="Times New Roman" w:hAnsi="Times New Roman" w:cs="Times New Roman"/>
          <w:b/>
          <w:bCs/>
          <w:sz w:val="24"/>
          <w:szCs w:val="24"/>
        </w:rPr>
        <w:t>eredménykimutatások</w:t>
      </w:r>
      <w:proofErr w:type="spellEnd"/>
      <w:r w:rsidRPr="00286FAA">
        <w:rPr>
          <w:rFonts w:ascii="Times New Roman" w:hAnsi="Times New Roman" w:cs="Times New Roman"/>
          <w:b/>
          <w:bCs/>
          <w:sz w:val="24"/>
          <w:szCs w:val="24"/>
        </w:rPr>
        <w:t xml:space="preserve"> összeállításának általános alapelvei</w:t>
      </w:r>
    </w:p>
    <w:p w:rsidR="008B36BA" w:rsidRPr="00286FAA" w:rsidRDefault="008B36BA" w:rsidP="003F0646">
      <w:pPr>
        <w:spacing w:after="0"/>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társaság az üzleti év végén, könyvviteli zárlatát követően az éves beszámolójában szereplő </w:t>
      </w:r>
      <w:proofErr w:type="spellStart"/>
      <w:r w:rsidRPr="00286FAA">
        <w:rPr>
          <w:rFonts w:ascii="Times New Roman" w:hAnsi="Times New Roman" w:cs="Times New Roman"/>
          <w:sz w:val="24"/>
          <w:szCs w:val="24"/>
        </w:rPr>
        <w:t>eredménykimutatásából</w:t>
      </w:r>
      <w:proofErr w:type="spellEnd"/>
      <w:r w:rsidRPr="00286FAA">
        <w:rPr>
          <w:rFonts w:ascii="Times New Roman" w:hAnsi="Times New Roman" w:cs="Times New Roman"/>
          <w:sz w:val="24"/>
          <w:szCs w:val="24"/>
        </w:rPr>
        <w:t xml:space="preserve"> az alábbi öt tevékenységi </w:t>
      </w:r>
      <w:proofErr w:type="spellStart"/>
      <w:r w:rsidRPr="00286FAA">
        <w:rPr>
          <w:rFonts w:ascii="Times New Roman" w:hAnsi="Times New Roman" w:cs="Times New Roman"/>
          <w:sz w:val="24"/>
          <w:szCs w:val="24"/>
        </w:rPr>
        <w:t>eredménykimutatást</w:t>
      </w:r>
      <w:proofErr w:type="spellEnd"/>
      <w:r w:rsidRPr="00286FAA">
        <w:rPr>
          <w:rFonts w:ascii="Times New Roman" w:hAnsi="Times New Roman" w:cs="Times New Roman"/>
          <w:sz w:val="24"/>
          <w:szCs w:val="24"/>
        </w:rPr>
        <w:t xml:space="preserve"> készíti el:</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 xml:space="preserve">távhőtermelés </w:t>
      </w:r>
      <w:proofErr w:type="spellStart"/>
      <w:r w:rsidRPr="00286FAA">
        <w:rPr>
          <w:rFonts w:ascii="Times New Roman" w:hAnsi="Times New Roman" w:cs="Times New Roman"/>
          <w:sz w:val="24"/>
          <w:szCs w:val="24"/>
        </w:rPr>
        <w:t>eredménykimutatása</w:t>
      </w:r>
      <w:proofErr w:type="spellEnd"/>
      <w:r w:rsidRPr="00286FAA">
        <w:rPr>
          <w:rFonts w:ascii="Times New Roman" w:hAnsi="Times New Roman" w:cs="Times New Roman"/>
          <w:sz w:val="24"/>
          <w:szCs w:val="24"/>
        </w:rPr>
        <w:t>,</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 xml:space="preserve">távhőszolgáltatás </w:t>
      </w:r>
      <w:proofErr w:type="spellStart"/>
      <w:r w:rsidRPr="00286FAA">
        <w:rPr>
          <w:rFonts w:ascii="Times New Roman" w:hAnsi="Times New Roman" w:cs="Times New Roman"/>
          <w:sz w:val="24"/>
          <w:szCs w:val="24"/>
        </w:rPr>
        <w:t>eredménykimutatása</w:t>
      </w:r>
      <w:proofErr w:type="spellEnd"/>
      <w:r w:rsidRPr="00286FAA">
        <w:rPr>
          <w:rFonts w:ascii="Times New Roman" w:hAnsi="Times New Roman" w:cs="Times New Roman"/>
          <w:sz w:val="24"/>
          <w:szCs w:val="24"/>
        </w:rPr>
        <w:t>,</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 xml:space="preserve">hulladékkezelési közszolgáltatás </w:t>
      </w:r>
      <w:proofErr w:type="spellStart"/>
      <w:r w:rsidRPr="00286FAA">
        <w:rPr>
          <w:rFonts w:ascii="Times New Roman" w:hAnsi="Times New Roman" w:cs="Times New Roman"/>
          <w:sz w:val="24"/>
          <w:szCs w:val="24"/>
        </w:rPr>
        <w:t>eredménykimutatása</w:t>
      </w:r>
      <w:proofErr w:type="spellEnd"/>
      <w:r w:rsidRPr="00286FAA">
        <w:rPr>
          <w:rFonts w:ascii="Times New Roman" w:hAnsi="Times New Roman" w:cs="Times New Roman"/>
          <w:sz w:val="24"/>
          <w:szCs w:val="24"/>
        </w:rPr>
        <w:t>,</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 xml:space="preserve">temetőfenntartás és üzemeltetés </w:t>
      </w:r>
      <w:proofErr w:type="spellStart"/>
      <w:r w:rsidRPr="00286FAA">
        <w:rPr>
          <w:rFonts w:ascii="Times New Roman" w:hAnsi="Times New Roman" w:cs="Times New Roman"/>
          <w:sz w:val="24"/>
          <w:szCs w:val="24"/>
        </w:rPr>
        <w:t>eredménykimutatása</w:t>
      </w:r>
      <w:proofErr w:type="spellEnd"/>
      <w:r w:rsidRPr="00286FAA">
        <w:rPr>
          <w:rFonts w:ascii="Times New Roman" w:hAnsi="Times New Roman" w:cs="Times New Roman"/>
          <w:sz w:val="24"/>
          <w:szCs w:val="24"/>
        </w:rPr>
        <w:t>,</w:t>
      </w:r>
    </w:p>
    <w:p w:rsidR="008B36BA" w:rsidRPr="00286FAA" w:rsidRDefault="008B36BA" w:rsidP="003F0646">
      <w:pPr>
        <w:pStyle w:val="Listaszerbekezds"/>
        <w:numPr>
          <w:ilvl w:val="0"/>
          <w:numId w:val="9"/>
        </w:numPr>
        <w:ind w:left="567" w:hanging="283"/>
        <w:jc w:val="both"/>
        <w:rPr>
          <w:rFonts w:ascii="Times New Roman" w:hAnsi="Times New Roman" w:cs="Times New Roman"/>
          <w:sz w:val="24"/>
          <w:szCs w:val="24"/>
        </w:rPr>
      </w:pPr>
      <w:r w:rsidRPr="00286FAA">
        <w:rPr>
          <w:rFonts w:ascii="Times New Roman" w:hAnsi="Times New Roman" w:cs="Times New Roman"/>
          <w:sz w:val="24"/>
          <w:szCs w:val="24"/>
        </w:rPr>
        <w:t xml:space="preserve">egyéb tevékenységek </w:t>
      </w:r>
      <w:proofErr w:type="spellStart"/>
      <w:r w:rsidRPr="00286FAA">
        <w:rPr>
          <w:rFonts w:ascii="Times New Roman" w:hAnsi="Times New Roman" w:cs="Times New Roman"/>
          <w:sz w:val="24"/>
          <w:szCs w:val="24"/>
        </w:rPr>
        <w:t>eredménykimutatása</w:t>
      </w:r>
      <w:proofErr w:type="spellEnd"/>
      <w:r w:rsidRPr="00286FAA">
        <w:rPr>
          <w:rFonts w:ascii="Times New Roman" w:hAnsi="Times New Roman" w:cs="Times New Roman"/>
          <w:sz w:val="24"/>
          <w:szCs w:val="24"/>
        </w:rPr>
        <w:t>.</w:t>
      </w:r>
    </w:p>
    <w:p w:rsidR="008B36BA" w:rsidRPr="00286FAA" w:rsidRDefault="008B36BA" w:rsidP="003F0646">
      <w:pPr>
        <w:pStyle w:val="Listaszerbekezds"/>
        <w:spacing w:after="0"/>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társasági </w:t>
      </w:r>
      <w:proofErr w:type="spellStart"/>
      <w:r w:rsidRPr="00286FAA">
        <w:rPr>
          <w:rFonts w:ascii="Times New Roman" w:hAnsi="Times New Roman" w:cs="Times New Roman"/>
          <w:sz w:val="24"/>
          <w:szCs w:val="24"/>
        </w:rPr>
        <w:t>eredménykimuatásból</w:t>
      </w:r>
      <w:proofErr w:type="spellEnd"/>
      <w:r w:rsidRPr="00286FAA">
        <w:rPr>
          <w:rFonts w:ascii="Times New Roman" w:hAnsi="Times New Roman" w:cs="Times New Roman"/>
          <w:sz w:val="24"/>
          <w:szCs w:val="24"/>
        </w:rPr>
        <w:t xml:space="preserve"> az egyedi </w:t>
      </w:r>
      <w:proofErr w:type="spellStart"/>
      <w:r w:rsidRPr="00286FAA">
        <w:rPr>
          <w:rFonts w:ascii="Times New Roman" w:hAnsi="Times New Roman" w:cs="Times New Roman"/>
          <w:sz w:val="24"/>
          <w:szCs w:val="24"/>
        </w:rPr>
        <w:t>eredménykimutatásokat</w:t>
      </w:r>
      <w:proofErr w:type="spellEnd"/>
      <w:r w:rsidRPr="00286FAA">
        <w:rPr>
          <w:rFonts w:ascii="Times New Roman" w:hAnsi="Times New Roman" w:cs="Times New Roman"/>
          <w:sz w:val="24"/>
          <w:szCs w:val="24"/>
        </w:rPr>
        <w:t xml:space="preserve"> a 3.2-3.4. pontban rögzített szabályok szerinti szétválasztással kell elkészíteni. A szétválasztás során a közvetlen hozzárendelésnek van elsőbbsége, a közvetlenül a tevékenységekhez nem rendelhető bevételek és ráfordítások tevékenységekre történő felosztását vetítési alapok segítségével kell elvégezni. A felosztás után a társasági </w:t>
      </w:r>
      <w:proofErr w:type="spellStart"/>
      <w:r w:rsidRPr="00286FAA">
        <w:rPr>
          <w:rFonts w:ascii="Times New Roman" w:hAnsi="Times New Roman" w:cs="Times New Roman"/>
          <w:sz w:val="24"/>
          <w:szCs w:val="24"/>
        </w:rPr>
        <w:t>eredménykimuatásból</w:t>
      </w:r>
      <w:proofErr w:type="spellEnd"/>
      <w:r w:rsidRPr="00286FAA">
        <w:rPr>
          <w:rFonts w:ascii="Times New Roman" w:hAnsi="Times New Roman" w:cs="Times New Roman"/>
          <w:sz w:val="24"/>
          <w:szCs w:val="24"/>
        </w:rPr>
        <w:t xml:space="preserve"> a tevékenységekhez hozzá nem rendelt eredménykategória nem maradhat. </w:t>
      </w:r>
    </w:p>
    <w:p w:rsidR="008B36B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társaság az elkészített egyedi </w:t>
      </w:r>
      <w:proofErr w:type="spellStart"/>
      <w:r w:rsidRPr="00286FAA">
        <w:rPr>
          <w:rFonts w:ascii="Times New Roman" w:hAnsi="Times New Roman" w:cs="Times New Roman"/>
          <w:sz w:val="24"/>
          <w:szCs w:val="24"/>
        </w:rPr>
        <w:t>eredménykimutatásokból</w:t>
      </w:r>
      <w:proofErr w:type="spellEnd"/>
      <w:r w:rsidRPr="00286FAA">
        <w:rPr>
          <w:rFonts w:ascii="Times New Roman" w:hAnsi="Times New Roman" w:cs="Times New Roman"/>
          <w:sz w:val="24"/>
          <w:szCs w:val="24"/>
        </w:rPr>
        <w:t xml:space="preserve"> a közszolgáltatási tevékenységek és a távhőtermelési tevékenység </w:t>
      </w:r>
      <w:proofErr w:type="spellStart"/>
      <w:r w:rsidRPr="00286FAA">
        <w:rPr>
          <w:rFonts w:ascii="Times New Roman" w:hAnsi="Times New Roman" w:cs="Times New Roman"/>
          <w:sz w:val="24"/>
          <w:szCs w:val="24"/>
        </w:rPr>
        <w:t>eredménykimutatását</w:t>
      </w:r>
      <w:proofErr w:type="spellEnd"/>
      <w:r w:rsidRPr="00286FAA">
        <w:rPr>
          <w:rFonts w:ascii="Times New Roman" w:hAnsi="Times New Roman" w:cs="Times New Roman"/>
          <w:sz w:val="24"/>
          <w:szCs w:val="24"/>
        </w:rPr>
        <w:t xml:space="preserve"> éves beszámolójának kiegészítő mellékletében bemutatja, azonban az egyéb tevékenységek </w:t>
      </w:r>
      <w:proofErr w:type="spellStart"/>
      <w:r w:rsidRPr="00286FAA">
        <w:rPr>
          <w:rFonts w:ascii="Times New Roman" w:hAnsi="Times New Roman" w:cs="Times New Roman"/>
          <w:sz w:val="24"/>
          <w:szCs w:val="24"/>
        </w:rPr>
        <w:t>eredménykimutatásának</w:t>
      </w:r>
      <w:proofErr w:type="spellEnd"/>
      <w:r w:rsidRPr="00286FAA">
        <w:rPr>
          <w:rFonts w:ascii="Times New Roman" w:hAnsi="Times New Roman" w:cs="Times New Roman"/>
          <w:sz w:val="24"/>
          <w:szCs w:val="24"/>
        </w:rPr>
        <w:t xml:space="preserve"> bemutatására nem kerül sor.</w:t>
      </w:r>
    </w:p>
    <w:p w:rsidR="00286FAA" w:rsidRDefault="00286FAA" w:rsidP="003F0646">
      <w:pPr>
        <w:jc w:val="both"/>
        <w:rPr>
          <w:rFonts w:ascii="Times New Roman" w:hAnsi="Times New Roman" w:cs="Times New Roman"/>
          <w:sz w:val="24"/>
          <w:szCs w:val="24"/>
        </w:rPr>
      </w:pPr>
    </w:p>
    <w:p w:rsidR="00286FAA" w:rsidRPr="00286FAA" w:rsidRDefault="00286FAA" w:rsidP="00286FAA">
      <w:pPr>
        <w:jc w:val="right"/>
        <w:rPr>
          <w:rFonts w:ascii="Times New Roman" w:hAnsi="Times New Roman" w:cs="Times New Roman"/>
          <w:sz w:val="24"/>
          <w:szCs w:val="24"/>
        </w:rPr>
      </w:pP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lastRenderedPageBreak/>
        <w:t>A költségnyilvántartás és a költségfelosztás általános szabályai</w:t>
      </w:r>
    </w:p>
    <w:p w:rsidR="008B36BA" w:rsidRPr="00286FAA" w:rsidRDefault="008B36BA" w:rsidP="003F0646">
      <w:pPr>
        <w:pStyle w:val="Listaszerbekezds"/>
        <w:ind w:left="1287"/>
        <w:rPr>
          <w:rFonts w:ascii="Times New Roman" w:hAnsi="Times New Roman" w:cs="Times New Roman"/>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társaság költségeit azok természete szerint a következő csoportosítás szerint tartja nyilván:</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anyagköltség,</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igénybe vett szolgáltatások költségei,</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egyéb szolgáltatások költségei,</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bérköltségek,</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személyi jellegű egyéb kifizetések,</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bérjárulékok,</w:t>
      </w:r>
    </w:p>
    <w:p w:rsidR="008B36BA" w:rsidRPr="00286FAA" w:rsidRDefault="008B36BA" w:rsidP="003F0646">
      <w:pPr>
        <w:pStyle w:val="Listaszerbekezds"/>
        <w:numPr>
          <w:ilvl w:val="0"/>
          <w:numId w:val="11"/>
        </w:numPr>
        <w:jc w:val="both"/>
        <w:rPr>
          <w:rFonts w:ascii="Times New Roman" w:hAnsi="Times New Roman" w:cs="Times New Roman"/>
          <w:sz w:val="24"/>
          <w:szCs w:val="24"/>
        </w:rPr>
      </w:pPr>
      <w:r w:rsidRPr="00286FAA">
        <w:rPr>
          <w:rFonts w:ascii="Times New Roman" w:hAnsi="Times New Roman" w:cs="Times New Roman"/>
          <w:sz w:val="24"/>
          <w:szCs w:val="24"/>
        </w:rPr>
        <w:t>értékcsökkenési leírás.</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 költségeken felül a ráfordításokat az alábbi kategóriák szerint csoportosítjuk: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eladott áruk beszerzési értéke,</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közvetített szolgáltatások értéke,</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egyéb ráfordítások,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pénzügyi műveletek ráfordításai.</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Ezen költségek közül a tevékenységekhez közvetlenül hozzárendelhető költségeket és ráfordításokat az adott tevékenységekhez munkaszámok használatával rendeljük hozzá. A közvetlenül a tevékenységekhez nem rendelhető költségek a közvetlen költségek arányában kerülnek felosztásra. Ezek a költségek különösen:</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ügyviteli anyagok, eszközök (pl. nyomtatványok, irodaszerek),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szakkönyvek,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karbantartó anyagok (pl. tisztítószerek),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egyéb eszközfenntartási költségek,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jogi és könyvvizsgálói díjak,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bank és biztosítás díjai,</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reklám és hirdetési díjak,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lastRenderedPageBreak/>
        <w:t>oktatási, kiküldetési költségek,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posta, telefon és internet költségek,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közvetett személyi jellegű ráfordítások,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támogatások, térítésmentes eszközátadások,</w:t>
      </w:r>
    </w:p>
    <w:p w:rsidR="008B36BA" w:rsidRPr="00286FAA" w:rsidRDefault="008B36BA" w:rsidP="003F0646">
      <w:pPr>
        <w:pStyle w:val="Listaszerbekezds"/>
        <w:numPr>
          <w:ilvl w:val="0"/>
          <w:numId w:val="12"/>
        </w:numPr>
        <w:jc w:val="both"/>
        <w:rPr>
          <w:rFonts w:ascii="Times New Roman" w:hAnsi="Times New Roman" w:cs="Times New Roman"/>
          <w:sz w:val="24"/>
          <w:szCs w:val="24"/>
        </w:rPr>
      </w:pPr>
      <w:r w:rsidRPr="00286FAA">
        <w:rPr>
          <w:rFonts w:ascii="Times New Roman" w:hAnsi="Times New Roman" w:cs="Times New Roman"/>
          <w:sz w:val="24"/>
          <w:szCs w:val="24"/>
        </w:rPr>
        <w:t>egyéb adók.</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felosztást évente egy alkalommal, a könyvviteli zárást követően kell elvégezni. A költségelszámolás során a közvetlenül a tevékenységekhez rendelt költségeket, a vetítési alap segítségével felosztásra kerülő költségeket és a költségarányosan felosztásra kerülő költségeket </w:t>
      </w:r>
      <w:proofErr w:type="spellStart"/>
      <w:r w:rsidRPr="00286FAA">
        <w:rPr>
          <w:rFonts w:ascii="Times New Roman" w:hAnsi="Times New Roman" w:cs="Times New Roman"/>
          <w:sz w:val="24"/>
          <w:szCs w:val="24"/>
        </w:rPr>
        <w:t>költségnemenként</w:t>
      </w:r>
      <w:proofErr w:type="spellEnd"/>
      <w:r w:rsidRPr="00286FAA">
        <w:rPr>
          <w:rFonts w:ascii="Times New Roman" w:hAnsi="Times New Roman" w:cs="Times New Roman"/>
          <w:sz w:val="24"/>
          <w:szCs w:val="24"/>
        </w:rPr>
        <w:t xml:space="preserve"> elkülönítetten, tevékenységenként be kell mutatni.</w:t>
      </w: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t>A bevételek elkülönítésének szabályai</w:t>
      </w:r>
    </w:p>
    <w:p w:rsidR="008B36BA" w:rsidRPr="00286FAA" w:rsidRDefault="008B36BA" w:rsidP="003F0646">
      <w:pPr>
        <w:shd w:val="clear" w:color="auto" w:fill="FFFFFF"/>
        <w:spacing w:after="0"/>
        <w:rPr>
          <w:rFonts w:ascii="Times New Roman" w:hAnsi="Times New Roman" w:cs="Times New Roman"/>
          <w:sz w:val="24"/>
          <w:szCs w:val="24"/>
        </w:rPr>
      </w:pP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társaság a közszolgáltatási tevékenységek árbevételét elkülönített főkönyvi számlákon tartja nyilván, a távhőtermelési tevékenységen árbevételt nem realizál. A távhőszolgáltatás árbevétele főkönyvi számonként tovább tagolódik, külön főkönyvi számlán tartjuk nyilván a </w:t>
      </w:r>
      <w:proofErr w:type="spellStart"/>
      <w:r w:rsidRPr="00286FAA">
        <w:rPr>
          <w:rFonts w:ascii="Times New Roman" w:hAnsi="Times New Roman" w:cs="Times New Roman"/>
          <w:sz w:val="24"/>
          <w:szCs w:val="24"/>
        </w:rPr>
        <w:t>hődíjakat</w:t>
      </w:r>
      <w:proofErr w:type="spellEnd"/>
      <w:r w:rsidRPr="00286FAA">
        <w:rPr>
          <w:rFonts w:ascii="Times New Roman" w:hAnsi="Times New Roman" w:cs="Times New Roman"/>
          <w:sz w:val="24"/>
          <w:szCs w:val="24"/>
        </w:rPr>
        <w:t xml:space="preserve"> és az alapdíjakat lakosság és közület szerint. A kegyeleti közszolgáltatások árbevételeit az egyes fenntartási és üzemeltetési tevékenységek szerint elkülönítetten tartjuk nyilván. A hulladékkezelési közszolgáltatás árbevételéről analitikus nyilvántartást vezetünk, amelyről az</w:t>
      </w:r>
      <w:r w:rsidRPr="00286FAA">
        <w:rPr>
          <w:rFonts w:ascii="Times New Roman" w:hAnsi="Times New Roman" w:cs="Times New Roman"/>
          <w:color w:val="000000"/>
          <w:sz w:val="23"/>
          <w:szCs w:val="23"/>
        </w:rPr>
        <w:t xml:space="preserve"> </w:t>
      </w:r>
      <w:r w:rsidRPr="00286FAA">
        <w:rPr>
          <w:rFonts w:ascii="Times New Roman" w:hAnsi="Times New Roman" w:cs="Times New Roman"/>
          <w:sz w:val="24"/>
          <w:szCs w:val="24"/>
        </w:rPr>
        <w:t>NHKV Nemzeti Hulladékgazdálkodási Koordináló és Vagyonkezelő Zártkörűen Működő Részvénytársaság részére is adatot szolgáltatunk.</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Az egyéb bevételeket üzemkódok alapján rögzítjük a különböző tevékenységekre. A pénzügyi műveletek bevételeinek elkülönítését elsősorban közvetlenül, gazdasági eseményenkénti tételes minősítés alkalmazásával valósítjuk meg. Azon tételeknél, ahol erre nincs lehetőség, a közvetlen költségek arányában történő felosztást alkalmazzuk.</w:t>
      </w:r>
    </w:p>
    <w:p w:rsidR="008B36BA" w:rsidRPr="00286FAA" w:rsidRDefault="008B36BA" w:rsidP="003F0646">
      <w:pPr>
        <w:jc w:val="both"/>
        <w:rPr>
          <w:rFonts w:ascii="Times New Roman" w:hAnsi="Times New Roman" w:cs="Times New Roman"/>
        </w:rPr>
      </w:pPr>
    </w:p>
    <w:p w:rsidR="008B36BA" w:rsidRPr="00286FAA" w:rsidRDefault="008B36BA" w:rsidP="003F0646">
      <w:pPr>
        <w:pStyle w:val="Listaszerbekezds"/>
        <w:numPr>
          <w:ilvl w:val="1"/>
          <w:numId w:val="7"/>
        </w:numPr>
        <w:spacing w:after="0"/>
        <w:rPr>
          <w:rFonts w:ascii="Times New Roman" w:hAnsi="Times New Roman" w:cs="Times New Roman"/>
          <w:b/>
          <w:bCs/>
          <w:sz w:val="24"/>
          <w:szCs w:val="24"/>
        </w:rPr>
      </w:pPr>
      <w:r w:rsidRPr="00286FAA">
        <w:rPr>
          <w:rFonts w:ascii="Times New Roman" w:hAnsi="Times New Roman" w:cs="Times New Roman"/>
          <w:b/>
          <w:bCs/>
          <w:sz w:val="24"/>
          <w:szCs w:val="24"/>
        </w:rPr>
        <w:t>Az adózás előtti és adózott eredmények elkülönítése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tevékenységenkénti adózás előtti eredményeket a bevételek és a ráfordítások 3.1.-3.3. pont szerint meghatározott, tevékenységenkénti értékekből számítjuk. Tekintettel arra, hogy a társaságnak saját hőtermelése van, a termelés esetében negatív adózás előtti eredményre lehet számítani, mivel az átadott hő költségeinek ellentételezése a bevételi oldalon nem jelenik meg a vonatkozó tevékenységenkénti eredmény kimutatásban. A távhőszolgáltatás árbevétele </w:t>
      </w:r>
      <w:proofErr w:type="spellStart"/>
      <w:r w:rsidRPr="00286FAA">
        <w:rPr>
          <w:rFonts w:ascii="Times New Roman" w:hAnsi="Times New Roman" w:cs="Times New Roman"/>
          <w:sz w:val="24"/>
          <w:szCs w:val="24"/>
        </w:rPr>
        <w:t>távhőszolgáltatási</w:t>
      </w:r>
      <w:proofErr w:type="spellEnd"/>
      <w:r w:rsidRPr="00286FAA">
        <w:rPr>
          <w:rFonts w:ascii="Times New Roman" w:hAnsi="Times New Roman" w:cs="Times New Roman"/>
          <w:sz w:val="24"/>
          <w:szCs w:val="24"/>
        </w:rPr>
        <w:t xml:space="preserve"> tevékenységhez tartozó eredmény kimutatásban fog megjelenni. Az adózott eredmény számítása az adózás előtti eredményből történik, a társasági adót a tevékenységek adózás előtti </w:t>
      </w:r>
      <w:r w:rsidRPr="00286FAA">
        <w:rPr>
          <w:rFonts w:ascii="Times New Roman" w:hAnsi="Times New Roman" w:cs="Times New Roman"/>
          <w:sz w:val="24"/>
          <w:szCs w:val="24"/>
        </w:rPr>
        <w:lastRenderedPageBreak/>
        <w:t>eredményének arányában osszuk úgy fel, hogy a veszteséges tevékenységekre kizárólag akkor kerül adó hozz</w:t>
      </w:r>
      <w:r w:rsidR="00286FAA">
        <w:rPr>
          <w:rFonts w:ascii="Times New Roman" w:hAnsi="Times New Roman" w:cs="Times New Roman"/>
          <w:sz w:val="24"/>
          <w:szCs w:val="24"/>
        </w:rPr>
        <w:t>árendelésre, ha a társaság adózá</w:t>
      </w:r>
      <w:r w:rsidRPr="00286FAA">
        <w:rPr>
          <w:rFonts w:ascii="Times New Roman" w:hAnsi="Times New Roman" w:cs="Times New Roman"/>
          <w:sz w:val="24"/>
          <w:szCs w:val="24"/>
        </w:rPr>
        <w:t>s előtti eredménye negatív, de adóalapját a jövedelem (nyereségminimum) szabályok alkalmazásával állapítja meg.</w:t>
      </w:r>
    </w:p>
    <w:p w:rsidR="008B36BA" w:rsidRPr="00286FAA" w:rsidRDefault="008B36BA" w:rsidP="003F0646">
      <w:pPr>
        <w:jc w:val="center"/>
        <w:rPr>
          <w:rFonts w:ascii="Times New Roman" w:hAnsi="Times New Roman" w:cs="Times New Roman"/>
          <w:b/>
          <w:bCs/>
          <w:sz w:val="28"/>
          <w:szCs w:val="28"/>
        </w:rPr>
      </w:pPr>
      <w:r w:rsidRPr="00286FAA">
        <w:rPr>
          <w:rFonts w:ascii="Times New Roman" w:hAnsi="Times New Roman" w:cs="Times New Roman"/>
          <w:b/>
          <w:bCs/>
          <w:sz w:val="24"/>
          <w:szCs w:val="24"/>
        </w:rPr>
        <w:t xml:space="preserve">4. </w:t>
      </w:r>
      <w:r w:rsidRPr="00286FAA">
        <w:rPr>
          <w:rFonts w:ascii="Times New Roman" w:hAnsi="Times New Roman" w:cs="Times New Roman"/>
          <w:b/>
          <w:bCs/>
          <w:sz w:val="28"/>
          <w:szCs w:val="28"/>
        </w:rPr>
        <w:t>Átmeneti és záró rendelkezések</w:t>
      </w:r>
    </w:p>
    <w:p w:rsidR="008B36BA" w:rsidRPr="00286FAA" w:rsidRDefault="008B36BA" w:rsidP="003F0646">
      <w:pPr>
        <w:rPr>
          <w:rFonts w:ascii="Times New Roman" w:hAnsi="Times New Roman" w:cs="Times New Roman"/>
          <w:b/>
          <w:bCs/>
          <w:sz w:val="24"/>
          <w:szCs w:val="24"/>
        </w:rPr>
      </w:pPr>
      <w:r w:rsidRPr="00286FAA">
        <w:rPr>
          <w:rFonts w:ascii="Times New Roman" w:hAnsi="Times New Roman" w:cs="Times New Roman"/>
          <w:b/>
          <w:bCs/>
          <w:sz w:val="24"/>
          <w:szCs w:val="24"/>
        </w:rPr>
        <w:t>4.1. Hatálybalépés</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Jelen Szabályzat 2017. február 1-jén lép hatályba azzal, hogy rendelkezéseit a 2016. évi beszámoló összeállításakor a 2016. üzleti év egészére vonatkoztatva alkalmazni kell. A számviteli szétválasztási szabályzat a társaság Számviteli Politikájának 2. számú függeléke.</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Ahol belső utas</w:t>
      </w:r>
      <w:r w:rsidR="00286FAA">
        <w:rPr>
          <w:rFonts w:ascii="Times New Roman" w:hAnsi="Times New Roman" w:cs="Times New Roman"/>
          <w:sz w:val="24"/>
          <w:szCs w:val="24"/>
        </w:rPr>
        <w:t>ítás vagy egyéb belső</w:t>
      </w:r>
      <w:r w:rsidRPr="00286FAA">
        <w:rPr>
          <w:rFonts w:ascii="Times New Roman" w:hAnsi="Times New Roman" w:cs="Times New Roman"/>
          <w:sz w:val="24"/>
          <w:szCs w:val="24"/>
        </w:rPr>
        <w:t xml:space="preserve"> szabályzat számviteli sza</w:t>
      </w:r>
      <w:r w:rsidR="00286FAA">
        <w:rPr>
          <w:rFonts w:ascii="Times New Roman" w:hAnsi="Times New Roman" w:cs="Times New Roman"/>
          <w:sz w:val="24"/>
          <w:szCs w:val="24"/>
        </w:rPr>
        <w:t>bályzatot említ</w:t>
      </w:r>
      <w:r w:rsidRPr="00286FAA">
        <w:rPr>
          <w:rFonts w:ascii="Times New Roman" w:hAnsi="Times New Roman" w:cs="Times New Roman"/>
          <w:sz w:val="24"/>
          <w:szCs w:val="24"/>
        </w:rPr>
        <w:t>, ott 2017. február 1-től ezen Szabályzatot kell érteni.</w:t>
      </w:r>
    </w:p>
    <w:p w:rsidR="008B36BA" w:rsidRPr="00286FAA" w:rsidRDefault="008B36BA" w:rsidP="003F0646">
      <w:pPr>
        <w:jc w:val="both"/>
        <w:rPr>
          <w:rFonts w:ascii="Times New Roman" w:hAnsi="Times New Roman" w:cs="Times New Roman"/>
          <w:sz w:val="24"/>
          <w:szCs w:val="24"/>
        </w:rPr>
      </w:pPr>
      <w:r w:rsidRPr="00286FAA">
        <w:rPr>
          <w:rFonts w:ascii="Times New Roman" w:hAnsi="Times New Roman" w:cs="Times New Roman"/>
          <w:sz w:val="24"/>
          <w:szCs w:val="24"/>
        </w:rPr>
        <w:t xml:space="preserve">A szabályzat hatályba lépésével egyidejűleg a társaság távhőtermelési és </w:t>
      </w:r>
      <w:proofErr w:type="spellStart"/>
      <w:r w:rsidRPr="00286FAA">
        <w:rPr>
          <w:rFonts w:ascii="Times New Roman" w:hAnsi="Times New Roman" w:cs="Times New Roman"/>
          <w:sz w:val="24"/>
          <w:szCs w:val="24"/>
        </w:rPr>
        <w:t>távhőszolgáltatási</w:t>
      </w:r>
      <w:proofErr w:type="spellEnd"/>
      <w:r w:rsidRPr="00286FAA">
        <w:rPr>
          <w:rFonts w:ascii="Times New Roman" w:hAnsi="Times New Roman" w:cs="Times New Roman"/>
          <w:sz w:val="24"/>
          <w:szCs w:val="24"/>
        </w:rPr>
        <w:t xml:space="preserve"> tevékenységeinek számviteli szétválasztási szabályzata hatályát veszti.</w:t>
      </w:r>
    </w:p>
    <w:p w:rsidR="008B36BA" w:rsidRPr="00286FAA" w:rsidRDefault="008B36BA" w:rsidP="00286FAA">
      <w:pPr>
        <w:rPr>
          <w:rFonts w:ascii="Times New Roman" w:hAnsi="Times New Roman" w:cs="Times New Roman"/>
          <w:b/>
          <w:bCs/>
          <w:sz w:val="24"/>
          <w:szCs w:val="24"/>
        </w:rPr>
      </w:pPr>
      <w:bookmarkStart w:id="7" w:name="_GoBack"/>
      <w:bookmarkEnd w:id="7"/>
      <w:r w:rsidRPr="00286FAA">
        <w:rPr>
          <w:rFonts w:ascii="Times New Roman" w:hAnsi="Times New Roman" w:cs="Times New Roman"/>
          <w:b/>
          <w:bCs/>
          <w:sz w:val="24"/>
          <w:szCs w:val="24"/>
        </w:rPr>
        <w:t>4.2. Jogszabályoknak történő megfelelés</w:t>
      </w:r>
    </w:p>
    <w:p w:rsidR="008B36BA" w:rsidRPr="00286FAA" w:rsidRDefault="008B36BA" w:rsidP="003F0646">
      <w:pPr>
        <w:ind w:left="567"/>
        <w:jc w:val="both"/>
        <w:rPr>
          <w:rFonts w:ascii="Times New Roman" w:hAnsi="Times New Roman" w:cs="Times New Roman"/>
          <w:sz w:val="24"/>
          <w:szCs w:val="24"/>
        </w:rPr>
      </w:pPr>
      <w:r w:rsidRPr="00286FAA">
        <w:rPr>
          <w:rFonts w:ascii="Times New Roman" w:hAnsi="Times New Roman" w:cs="Times New Roman"/>
          <w:sz w:val="24"/>
          <w:szCs w:val="24"/>
        </w:rPr>
        <w:t>A szabályzat az alábbi jogszabályok figyelembe vételével került összeállításra:</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2000. évi C. törvény a számvitelről (Szt.),</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1999. évi XLIII. törvény a temetőkről és a temetkezésről (Tt.),</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2005. évi XVIII. törvény a távhőszolgáltatásról (</w:t>
      </w:r>
      <w:proofErr w:type="spellStart"/>
      <w:r w:rsidRPr="00286FAA">
        <w:rPr>
          <w:rFonts w:ascii="Times New Roman" w:hAnsi="Times New Roman" w:cs="Times New Roman"/>
          <w:sz w:val="24"/>
          <w:szCs w:val="24"/>
        </w:rPr>
        <w:t>Tszt</w:t>
      </w:r>
      <w:proofErr w:type="spellEnd"/>
      <w:r w:rsidRPr="00286FAA">
        <w:rPr>
          <w:rFonts w:ascii="Times New Roman" w:hAnsi="Times New Roman" w:cs="Times New Roman"/>
          <w:sz w:val="24"/>
          <w:szCs w:val="24"/>
        </w:rPr>
        <w:t>.),</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2012. évi CLXXXV. törvény a hulladékról (</w:t>
      </w:r>
      <w:proofErr w:type="spellStart"/>
      <w:r w:rsidRPr="00286FAA">
        <w:rPr>
          <w:rFonts w:ascii="Times New Roman" w:hAnsi="Times New Roman" w:cs="Times New Roman"/>
          <w:sz w:val="24"/>
          <w:szCs w:val="24"/>
        </w:rPr>
        <w:t>Ht</w:t>
      </w:r>
      <w:proofErr w:type="spellEnd"/>
      <w:r w:rsidRPr="00286FAA">
        <w:rPr>
          <w:rFonts w:ascii="Times New Roman" w:hAnsi="Times New Roman" w:cs="Times New Roman"/>
          <w:sz w:val="24"/>
          <w:szCs w:val="24"/>
        </w:rPr>
        <w:t>.),</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2011. évi CLXXXIX. törvény Magyarország helyi önkormányzatairól (</w:t>
      </w:r>
      <w:proofErr w:type="spellStart"/>
      <w:r w:rsidRPr="00286FAA">
        <w:rPr>
          <w:rFonts w:ascii="Times New Roman" w:hAnsi="Times New Roman" w:cs="Times New Roman"/>
          <w:sz w:val="24"/>
          <w:szCs w:val="24"/>
        </w:rPr>
        <w:t>Mötv</w:t>
      </w:r>
      <w:proofErr w:type="spellEnd"/>
      <w:r w:rsidRPr="00286FAA">
        <w:rPr>
          <w:rFonts w:ascii="Times New Roman" w:hAnsi="Times New Roman" w:cs="Times New Roman"/>
          <w:sz w:val="24"/>
          <w:szCs w:val="24"/>
        </w:rPr>
        <w:t>). 145/1999. (X.1.) Korm. rendelet a temetőkről és a temetkezésről szóló 1999. évi XLIII. törvény végrehajtásáról,</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Dunakeszi Város Önkormányzata Képviselő-testületének 21/2006. (VI.30.) rendelete a temetőkről és a temetkezési tevékenységről,</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 xml:space="preserve">Dunakeszi Város Önkormányzata Képviselő-testületének 7/2007. (IV.02.) rendelete a </w:t>
      </w:r>
      <w:proofErr w:type="spellStart"/>
      <w:r w:rsidRPr="00286FAA">
        <w:rPr>
          <w:rFonts w:ascii="Times New Roman" w:hAnsi="Times New Roman" w:cs="Times New Roman"/>
          <w:sz w:val="24"/>
          <w:szCs w:val="24"/>
        </w:rPr>
        <w:t>távhőszolgáltató</w:t>
      </w:r>
      <w:proofErr w:type="spellEnd"/>
      <w:r w:rsidRPr="00286FAA">
        <w:rPr>
          <w:rFonts w:ascii="Times New Roman" w:hAnsi="Times New Roman" w:cs="Times New Roman"/>
          <w:sz w:val="24"/>
          <w:szCs w:val="24"/>
        </w:rPr>
        <w:t xml:space="preserve"> és a felhasználó közötti jogviszony részletes szabályairól, valamint a hatósági áralkalmazás és a díjfizetés feltételeiről,</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Dunakeszi Város Önkormányzat Képviselő-testületének 15/2013. (VII.26.) önkormányzati rendelete a települési szilárd hulladékkal kapcsolatos közszolgáltatás ellátásáról,</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t xml:space="preserve">A Magyar Energia Hivatal 1/2013. ajánlása a </w:t>
      </w:r>
      <w:proofErr w:type="spellStart"/>
      <w:r w:rsidRPr="00286FAA">
        <w:rPr>
          <w:rFonts w:ascii="Times New Roman" w:hAnsi="Times New Roman" w:cs="Times New Roman"/>
          <w:sz w:val="24"/>
          <w:szCs w:val="24"/>
        </w:rPr>
        <w:t>távhőtermelők</w:t>
      </w:r>
      <w:proofErr w:type="spellEnd"/>
      <w:r w:rsidRPr="00286FAA">
        <w:rPr>
          <w:rFonts w:ascii="Times New Roman" w:hAnsi="Times New Roman" w:cs="Times New Roman"/>
          <w:sz w:val="24"/>
          <w:szCs w:val="24"/>
        </w:rPr>
        <w:t xml:space="preserve"> és </w:t>
      </w:r>
      <w:proofErr w:type="spellStart"/>
      <w:r w:rsidRPr="00286FAA">
        <w:rPr>
          <w:rFonts w:ascii="Times New Roman" w:hAnsi="Times New Roman" w:cs="Times New Roman"/>
          <w:sz w:val="24"/>
          <w:szCs w:val="24"/>
        </w:rPr>
        <w:t>távhőszolgáltatók</w:t>
      </w:r>
      <w:proofErr w:type="spellEnd"/>
      <w:r w:rsidRPr="00286FAA">
        <w:rPr>
          <w:rFonts w:ascii="Times New Roman" w:hAnsi="Times New Roman" w:cs="Times New Roman"/>
          <w:sz w:val="24"/>
          <w:szCs w:val="24"/>
        </w:rPr>
        <w:t xml:space="preserve"> számára előírt számviteli szétválasztási szabályok gyakorlati alkalmazásáról,</w:t>
      </w:r>
    </w:p>
    <w:p w:rsidR="008B36BA" w:rsidRPr="00286FAA" w:rsidRDefault="008B36BA" w:rsidP="003F0646">
      <w:pPr>
        <w:numPr>
          <w:ilvl w:val="0"/>
          <w:numId w:val="8"/>
        </w:numPr>
        <w:spacing w:after="0"/>
        <w:ind w:left="1134" w:hanging="567"/>
        <w:jc w:val="both"/>
        <w:rPr>
          <w:rFonts w:ascii="Times New Roman" w:hAnsi="Times New Roman" w:cs="Times New Roman"/>
          <w:sz w:val="24"/>
          <w:szCs w:val="24"/>
        </w:rPr>
      </w:pPr>
      <w:r w:rsidRPr="00286FAA">
        <w:rPr>
          <w:rFonts w:ascii="Times New Roman" w:hAnsi="Times New Roman" w:cs="Times New Roman"/>
          <w:sz w:val="24"/>
          <w:szCs w:val="24"/>
        </w:rPr>
        <w:lastRenderedPageBreak/>
        <w:t xml:space="preserve">A Magyar Energetikai és </w:t>
      </w:r>
      <w:proofErr w:type="spellStart"/>
      <w:r w:rsidRPr="00286FAA">
        <w:rPr>
          <w:rFonts w:ascii="Times New Roman" w:hAnsi="Times New Roman" w:cs="Times New Roman"/>
          <w:sz w:val="24"/>
          <w:szCs w:val="24"/>
        </w:rPr>
        <w:t>Közműszabályozási</w:t>
      </w:r>
      <w:proofErr w:type="spellEnd"/>
      <w:r w:rsidRPr="00286FAA">
        <w:rPr>
          <w:rFonts w:ascii="Times New Roman" w:hAnsi="Times New Roman" w:cs="Times New Roman"/>
          <w:sz w:val="24"/>
          <w:szCs w:val="24"/>
        </w:rPr>
        <w:t xml:space="preserve"> Hivatal 1/2015. ajánlása a hulladékgazdálkodási közszolgáltatók számára előírt számviteli szétválasztási szabályok gyakorlati alkalmazásáról és a javasolt költségfelosztásról,</w:t>
      </w:r>
    </w:p>
    <w:p w:rsidR="008B36BA" w:rsidRPr="00286FAA" w:rsidRDefault="008B36BA" w:rsidP="003F0646">
      <w:pPr>
        <w:spacing w:after="0"/>
        <w:ind w:left="1134"/>
        <w:jc w:val="both"/>
        <w:rPr>
          <w:rFonts w:ascii="Times New Roman" w:hAnsi="Times New Roman" w:cs="Times New Roman"/>
          <w:sz w:val="24"/>
          <w:szCs w:val="24"/>
        </w:rPr>
      </w:pPr>
    </w:p>
    <w:p w:rsidR="008B36BA" w:rsidRPr="00286FAA" w:rsidRDefault="008B36BA" w:rsidP="003F0646">
      <w:pPr>
        <w:pStyle w:val="Stlus"/>
        <w:spacing w:line="288" w:lineRule="auto"/>
        <w:ind w:right="11"/>
        <w:rPr>
          <w:rFonts w:ascii="Times New Roman" w:hAnsi="Times New Roman" w:cs="Times New Roman"/>
          <w:b/>
          <w:bCs/>
          <w:w w:val="109"/>
        </w:rPr>
      </w:pPr>
      <w:r w:rsidRPr="00286FAA">
        <w:rPr>
          <w:rFonts w:ascii="Times New Roman" w:hAnsi="Times New Roman" w:cs="Times New Roman"/>
          <w:b/>
          <w:bCs/>
          <w:w w:val="109"/>
        </w:rPr>
        <w:t xml:space="preserve">Dunakeszi, </w:t>
      </w:r>
      <w:proofErr w:type="gramStart"/>
      <w:r w:rsidRPr="00286FAA">
        <w:rPr>
          <w:rFonts w:ascii="Times New Roman" w:hAnsi="Times New Roman" w:cs="Times New Roman"/>
          <w:b/>
          <w:bCs/>
          <w:w w:val="109"/>
        </w:rPr>
        <w:t>201</w:t>
      </w:r>
      <w:r w:rsidR="00286FAA">
        <w:rPr>
          <w:rFonts w:ascii="Times New Roman" w:hAnsi="Times New Roman" w:cs="Times New Roman"/>
          <w:b/>
          <w:bCs/>
          <w:w w:val="109"/>
        </w:rPr>
        <w:t>7</w:t>
      </w:r>
      <w:r w:rsidRPr="00286FAA">
        <w:rPr>
          <w:rFonts w:ascii="Times New Roman" w:hAnsi="Times New Roman" w:cs="Times New Roman"/>
          <w:b/>
          <w:bCs/>
          <w:w w:val="109"/>
        </w:rPr>
        <w:t>.</w:t>
      </w:r>
      <w:r w:rsidR="00286FAA">
        <w:rPr>
          <w:rFonts w:ascii="Times New Roman" w:hAnsi="Times New Roman" w:cs="Times New Roman"/>
          <w:b/>
          <w:bCs/>
          <w:w w:val="109"/>
        </w:rPr>
        <w:t xml:space="preserve"> …</w:t>
      </w:r>
      <w:proofErr w:type="gramEnd"/>
      <w:r w:rsidR="00286FAA">
        <w:rPr>
          <w:rFonts w:ascii="Times New Roman" w:hAnsi="Times New Roman" w:cs="Times New Roman"/>
          <w:b/>
          <w:bCs/>
          <w:w w:val="109"/>
        </w:rPr>
        <w:t>……………….</w:t>
      </w:r>
    </w:p>
    <w:p w:rsidR="008B36BA" w:rsidRPr="00286FAA" w:rsidRDefault="008B36BA" w:rsidP="003F0646">
      <w:pPr>
        <w:rPr>
          <w:rFonts w:ascii="Times New Roman" w:hAnsi="Times New Roman" w:cs="Times New Roman"/>
          <w:b/>
          <w:bCs/>
        </w:rPr>
      </w:pPr>
    </w:p>
    <w:p w:rsidR="008B36BA" w:rsidRPr="00286FAA" w:rsidRDefault="008B36BA" w:rsidP="003F0646">
      <w:pPr>
        <w:ind w:left="567"/>
        <w:jc w:val="right"/>
        <w:rPr>
          <w:rFonts w:ascii="Times New Roman" w:hAnsi="Times New Roman" w:cs="Times New Roman"/>
          <w:b/>
          <w:bCs/>
        </w:rPr>
      </w:pPr>
    </w:p>
    <w:p w:rsidR="008B36BA" w:rsidRPr="00286FAA" w:rsidRDefault="008B36BA" w:rsidP="003F0646">
      <w:pPr>
        <w:ind w:left="567"/>
        <w:jc w:val="right"/>
        <w:rPr>
          <w:rFonts w:ascii="Times New Roman" w:hAnsi="Times New Roman" w:cs="Times New Roman"/>
          <w:b/>
          <w:bCs/>
        </w:rPr>
      </w:pPr>
    </w:p>
    <w:p w:rsidR="008B36BA" w:rsidRPr="00286FAA" w:rsidRDefault="008B36BA" w:rsidP="003F0646">
      <w:pPr>
        <w:pStyle w:val="Stlus"/>
        <w:spacing w:line="288" w:lineRule="auto"/>
        <w:ind w:right="11"/>
        <w:jc w:val="right"/>
        <w:rPr>
          <w:rFonts w:ascii="Times New Roman" w:hAnsi="Times New Roman" w:cs="Times New Roman"/>
          <w:b/>
          <w:bCs/>
          <w:w w:val="109"/>
        </w:rPr>
      </w:pPr>
      <w:proofErr w:type="spellStart"/>
      <w:r w:rsidRPr="00286FAA">
        <w:rPr>
          <w:rFonts w:ascii="Times New Roman" w:hAnsi="Times New Roman" w:cs="Times New Roman"/>
          <w:b/>
          <w:bCs/>
          <w:w w:val="109"/>
        </w:rPr>
        <w:t>Homolya</w:t>
      </w:r>
      <w:proofErr w:type="spellEnd"/>
      <w:r w:rsidRPr="00286FAA">
        <w:rPr>
          <w:rFonts w:ascii="Times New Roman" w:hAnsi="Times New Roman" w:cs="Times New Roman"/>
          <w:b/>
          <w:bCs/>
          <w:w w:val="109"/>
        </w:rPr>
        <w:t xml:space="preserve"> József</w:t>
      </w:r>
    </w:p>
    <w:p w:rsidR="008B36BA" w:rsidRPr="00286FAA" w:rsidRDefault="008B36BA" w:rsidP="003F0646">
      <w:pPr>
        <w:pStyle w:val="Stlus"/>
        <w:spacing w:line="288" w:lineRule="auto"/>
        <w:ind w:right="11"/>
        <w:jc w:val="right"/>
        <w:rPr>
          <w:rFonts w:ascii="Times New Roman" w:hAnsi="Times New Roman" w:cs="Times New Roman"/>
          <w:b/>
          <w:bCs/>
          <w:w w:val="109"/>
        </w:rPr>
      </w:pPr>
      <w:proofErr w:type="gramStart"/>
      <w:r w:rsidRPr="00286FAA">
        <w:rPr>
          <w:rFonts w:ascii="Times New Roman" w:hAnsi="Times New Roman" w:cs="Times New Roman"/>
          <w:b/>
          <w:bCs/>
          <w:w w:val="109"/>
        </w:rPr>
        <w:t>ügyvezető</w:t>
      </w:r>
      <w:proofErr w:type="gramEnd"/>
    </w:p>
    <w:p w:rsidR="008B36BA" w:rsidRPr="00286FAA" w:rsidRDefault="00286FAA" w:rsidP="00F62B50">
      <w:pPr>
        <w:rPr>
          <w:rFonts w:ascii="Times New Roman" w:hAnsi="Times New Roman" w:cs="Times New Roman"/>
          <w:b/>
          <w:bCs/>
          <w:sz w:val="24"/>
          <w:szCs w:val="24"/>
        </w:rPr>
      </w:pPr>
      <w:r>
        <w:rPr>
          <w:rFonts w:ascii="Times New Roman" w:hAnsi="Times New Roman" w:cs="Times New Roman"/>
          <w:b/>
          <w:bCs/>
          <w:sz w:val="24"/>
          <w:szCs w:val="24"/>
        </w:rPr>
        <w:br w:type="page"/>
      </w:r>
      <w:r w:rsidR="00F62B50">
        <w:rPr>
          <w:rFonts w:ascii="Times New Roman" w:hAnsi="Times New Roman" w:cs="Times New Roman"/>
          <w:b/>
          <w:bCs/>
          <w:sz w:val="24"/>
          <w:szCs w:val="24"/>
        </w:rPr>
        <w:lastRenderedPageBreak/>
        <w:t xml:space="preserve">1. </w:t>
      </w:r>
      <w:r w:rsidR="008B36BA" w:rsidRPr="00286FAA">
        <w:rPr>
          <w:rFonts w:ascii="Times New Roman" w:hAnsi="Times New Roman" w:cs="Times New Roman"/>
          <w:b/>
          <w:bCs/>
          <w:sz w:val="24"/>
          <w:szCs w:val="24"/>
        </w:rPr>
        <w:t>számú melléklet</w:t>
      </w:r>
    </w:p>
    <w:p w:rsidR="008B36BA" w:rsidRPr="00286FAA" w:rsidRDefault="008B36BA" w:rsidP="003F0646">
      <w:pPr>
        <w:pStyle w:val="Listaszerbekezds"/>
        <w:jc w:val="center"/>
        <w:rPr>
          <w:rFonts w:ascii="Times New Roman" w:hAnsi="Times New Roman" w:cs="Times New Roman"/>
          <w:b/>
          <w:bCs/>
        </w:rPr>
      </w:pPr>
      <w:r w:rsidRPr="00286FAA">
        <w:rPr>
          <w:rFonts w:ascii="Times New Roman" w:hAnsi="Times New Roman" w:cs="Times New Roman"/>
          <w:b/>
          <w:bCs/>
        </w:rPr>
        <w:t xml:space="preserve">Az </w:t>
      </w:r>
      <w:proofErr w:type="spellStart"/>
      <w:r w:rsidRPr="00286FAA">
        <w:rPr>
          <w:rFonts w:ascii="Times New Roman" w:hAnsi="Times New Roman" w:cs="Times New Roman"/>
          <w:b/>
          <w:bCs/>
        </w:rPr>
        <w:t>eredménykimutatás</w:t>
      </w:r>
      <w:proofErr w:type="spellEnd"/>
      <w:r w:rsidRPr="00286FAA">
        <w:rPr>
          <w:rFonts w:ascii="Times New Roman" w:hAnsi="Times New Roman" w:cs="Times New Roman"/>
          <w:b/>
          <w:bCs/>
        </w:rPr>
        <w:t xml:space="preserve"> és a mérleg számviteli szétválasztásának alapelvei eredménykategóriánként</w:t>
      </w:r>
    </w:p>
    <w:tbl>
      <w:tblPr>
        <w:tblW w:w="10040" w:type="dxa"/>
        <w:tblInd w:w="-68" w:type="dxa"/>
        <w:tblCellMar>
          <w:left w:w="70" w:type="dxa"/>
          <w:right w:w="70" w:type="dxa"/>
        </w:tblCellMar>
        <w:tblLook w:val="00A0"/>
      </w:tblPr>
      <w:tblGrid>
        <w:gridCol w:w="1783"/>
        <w:gridCol w:w="2977"/>
        <w:gridCol w:w="5280"/>
      </w:tblGrid>
      <w:tr w:rsidR="008B36BA" w:rsidRPr="00286FAA">
        <w:trPr>
          <w:trHeight w:val="375"/>
        </w:trPr>
        <w:tc>
          <w:tcPr>
            <w:tcW w:w="4760" w:type="dxa"/>
            <w:gridSpan w:val="2"/>
            <w:tcBorders>
              <w:top w:val="single" w:sz="4" w:space="0" w:color="auto"/>
              <w:left w:val="single" w:sz="4" w:space="0" w:color="auto"/>
              <w:bottom w:val="single" w:sz="4" w:space="0" w:color="auto"/>
              <w:right w:val="single" w:sz="4" w:space="0" w:color="auto"/>
            </w:tcBorders>
            <w:noWrap/>
            <w:vAlign w:val="bottom"/>
          </w:tcPr>
          <w:p w:rsidR="008B36BA" w:rsidRPr="00286FAA" w:rsidRDefault="008B36BA" w:rsidP="003F0646">
            <w:pPr>
              <w:pStyle w:val="Listaszerbekezds"/>
              <w:rPr>
                <w:rFonts w:ascii="Times New Roman" w:hAnsi="Times New Roman" w:cs="Times New Roman"/>
                <w:b/>
                <w:bCs/>
              </w:rPr>
            </w:pPr>
            <w:proofErr w:type="spellStart"/>
            <w:r w:rsidRPr="00286FAA">
              <w:rPr>
                <w:rFonts w:ascii="Times New Roman" w:hAnsi="Times New Roman" w:cs="Times New Roman"/>
                <w:b/>
                <w:bCs/>
              </w:rPr>
              <w:t>Eredménykimutatás</w:t>
            </w:r>
            <w:proofErr w:type="spellEnd"/>
            <w:r w:rsidRPr="00286FAA">
              <w:rPr>
                <w:rFonts w:ascii="Times New Roman" w:hAnsi="Times New Roman" w:cs="Times New Roman"/>
                <w:b/>
                <w:bCs/>
              </w:rPr>
              <w:t xml:space="preserve"> sorai</w:t>
            </w:r>
          </w:p>
        </w:tc>
        <w:tc>
          <w:tcPr>
            <w:tcW w:w="5280" w:type="dxa"/>
            <w:tcBorders>
              <w:top w:val="single" w:sz="4" w:space="0" w:color="auto"/>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Szétválasztás módszere</w:t>
            </w:r>
          </w:p>
        </w:tc>
      </w:tr>
      <w:tr w:rsidR="008B36BA" w:rsidRPr="00286FAA" w:rsidTr="00F62B50">
        <w:trPr>
          <w:trHeight w:val="613"/>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xml:space="preserve">Értékesítés nettó árbevétele </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Főkönyvi számlaszámok és/vagy analitikus nyilvántartások alapján, tételesen elkülönítve.</w:t>
            </w:r>
          </w:p>
        </w:tc>
      </w:tr>
      <w:tr w:rsidR="008B36BA" w:rsidRPr="00286FAA" w:rsidTr="00F62B50">
        <w:trPr>
          <w:trHeight w:val="540"/>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Aktivált saját telj. értéke</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w:t>
            </w:r>
          </w:p>
        </w:tc>
      </w:tr>
      <w:tr w:rsidR="008B36BA" w:rsidRPr="00286FAA">
        <w:trPr>
          <w:trHeight w:val="950"/>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III.</w:t>
            </w:r>
          </w:p>
        </w:tc>
        <w:tc>
          <w:tcPr>
            <w:tcW w:w="2977"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Egyéb bevételek</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IV.</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Anyagjellegű ráfordítások</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V.</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xml:space="preserve">Személyi jellegű ráfordítások </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630"/>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VI.</w:t>
            </w:r>
          </w:p>
        </w:tc>
        <w:tc>
          <w:tcPr>
            <w:tcW w:w="2977"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Értékcsökkenési leírás</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Tételesen elkülönítve.</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VII.</w:t>
            </w:r>
          </w:p>
        </w:tc>
        <w:tc>
          <w:tcPr>
            <w:tcW w:w="2977"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Egyéb ráfordítások</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proofErr w:type="gramStart"/>
            <w:r w:rsidRPr="00286FAA">
              <w:rPr>
                <w:rFonts w:ascii="Times New Roman" w:hAnsi="Times New Roman" w:cs="Times New Roman"/>
                <w:b/>
                <w:bCs/>
              </w:rPr>
              <w:t>A.</w:t>
            </w:r>
            <w:proofErr w:type="gramEnd"/>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ÜZEMI (ÜZLETI) TEVÉKENYSÉG EREDMÉNYE</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VIII.</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xml:space="preserve">Pénzügyi műveletek bevételei </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945"/>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IX.</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xml:space="preserve">Pénzügyi műveletek ráfordításai </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Gazdasági eseményenként, tételes minősítéssel elkülönítve. Ha ez nem lehetséges, a közvetlen költségek arányában történik a felosztása.</w:t>
            </w:r>
          </w:p>
        </w:tc>
      </w:tr>
      <w:tr w:rsidR="008B36BA" w:rsidRPr="00286FAA">
        <w:trPr>
          <w:trHeight w:val="630"/>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B.</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PÉNZÜGYI MŰVELETEK EREDMÉNYE</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r w:rsidR="008B36BA" w:rsidRPr="00286FAA">
        <w:trPr>
          <w:trHeight w:val="630"/>
        </w:trPr>
        <w:tc>
          <w:tcPr>
            <w:tcW w:w="1783"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C.</w:t>
            </w:r>
          </w:p>
        </w:tc>
        <w:tc>
          <w:tcPr>
            <w:tcW w:w="2977"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ADÓZÁS ELŐTTI EREDMÉNY</w:t>
            </w:r>
          </w:p>
        </w:tc>
        <w:tc>
          <w:tcPr>
            <w:tcW w:w="5280"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bl>
    <w:p w:rsidR="008B36BA" w:rsidRPr="00286FAA" w:rsidRDefault="008B36BA" w:rsidP="003F0646">
      <w:pPr>
        <w:rPr>
          <w:rFonts w:ascii="Times New Roman" w:hAnsi="Times New Roman" w:cs="Times New Roman"/>
        </w:rPr>
      </w:pPr>
    </w:p>
    <w:tbl>
      <w:tblPr>
        <w:tblpPr w:leftFromText="141" w:rightFromText="141" w:vertAnchor="text" w:horzAnchor="margin" w:tblpXSpec="center" w:tblpY="-636"/>
        <w:tblW w:w="10780" w:type="dxa"/>
        <w:tblCellMar>
          <w:left w:w="70" w:type="dxa"/>
          <w:right w:w="70" w:type="dxa"/>
        </w:tblCellMar>
        <w:tblLook w:val="00A0"/>
      </w:tblPr>
      <w:tblGrid>
        <w:gridCol w:w="1308"/>
        <w:gridCol w:w="3074"/>
        <w:gridCol w:w="6398"/>
      </w:tblGrid>
      <w:tr w:rsidR="008B36BA" w:rsidRPr="00286FAA">
        <w:trPr>
          <w:trHeight w:val="335"/>
        </w:trPr>
        <w:tc>
          <w:tcPr>
            <w:tcW w:w="4382" w:type="dxa"/>
            <w:gridSpan w:val="2"/>
            <w:tcBorders>
              <w:top w:val="single" w:sz="4" w:space="0" w:color="auto"/>
              <w:left w:val="single" w:sz="4" w:space="0" w:color="auto"/>
              <w:bottom w:val="single" w:sz="4" w:space="0" w:color="auto"/>
              <w:right w:val="single" w:sz="4" w:space="0" w:color="auto"/>
            </w:tcBorders>
            <w:noWrap/>
            <w:vAlign w:val="bottom"/>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lastRenderedPageBreak/>
              <w:t>Mérlegsorok</w:t>
            </w:r>
          </w:p>
        </w:tc>
        <w:tc>
          <w:tcPr>
            <w:tcW w:w="6398" w:type="dxa"/>
            <w:tcBorders>
              <w:top w:val="single" w:sz="4" w:space="0" w:color="auto"/>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Szétválasztás módszere</w:t>
            </w:r>
          </w:p>
        </w:tc>
      </w:tr>
      <w:tr w:rsidR="008B36BA" w:rsidRPr="00286FAA">
        <w:trPr>
          <w:trHeight w:val="33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proofErr w:type="gramStart"/>
            <w:r w:rsidRPr="00286FAA">
              <w:rPr>
                <w:rFonts w:ascii="Times New Roman" w:hAnsi="Times New Roman" w:cs="Times New Roman"/>
                <w:b/>
                <w:bCs/>
              </w:rPr>
              <w:t>A.</w:t>
            </w:r>
            <w:proofErr w:type="gramEnd"/>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Befektetett eszközök</w:t>
            </w:r>
          </w:p>
        </w:tc>
        <w:tc>
          <w:tcPr>
            <w:tcW w:w="6398"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IMMATERIÁLIS JAVAK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 xml:space="preserve">Az analitikus nyilvántartások szerinti tételes elkülönítéssel határozzuk meg. </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TÁRGYI ESZKÖZÖK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analitikus nyilvántartások szerinti tételes elkülönítéssel határozzuk meg.</w:t>
            </w:r>
          </w:p>
        </w:tc>
      </w:tr>
      <w:tr w:rsidR="008B36BA" w:rsidRPr="00286FAA">
        <w:trPr>
          <w:trHeight w:val="563"/>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BEFEKTETETT PÉNZÜGYI ESZKÖZÖK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immateriális javak+tárgyi eszközök+vevők arányában osztódik.</w:t>
            </w:r>
          </w:p>
        </w:tc>
      </w:tr>
      <w:tr w:rsidR="008B36BA" w:rsidRPr="00286FAA">
        <w:trPr>
          <w:trHeight w:val="33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B.</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Forgóeszközök</w:t>
            </w:r>
          </w:p>
        </w:tc>
        <w:tc>
          <w:tcPr>
            <w:tcW w:w="6398"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r w:rsidR="008B36BA" w:rsidRPr="00286FAA">
        <w:trPr>
          <w:trHeight w:val="563"/>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KÉSZLETEK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immateriális javak+tárgyi eszközök+vevők arányában osztódik.</w:t>
            </w:r>
          </w:p>
        </w:tc>
      </w:tr>
      <w:tr w:rsidR="008B36BA" w:rsidRPr="00286FAA">
        <w:trPr>
          <w:trHeight w:val="1126"/>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KÖVETELÉSEK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 vevők tételes vizsgálat alapján, analitikus nyilvántartásokra támaszkodva kerül meghatározásra. A vevőkön kívüli egyéb követeléseket az immateriális javak+tárgyi eszközök+vevők arányában osztódik</w:t>
            </w:r>
          </w:p>
        </w:tc>
      </w:tr>
      <w:tr w:rsidR="008B36BA" w:rsidRPr="00286FAA">
        <w:trPr>
          <w:trHeight w:val="563"/>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III.</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ÉRTÉKPAPÍROK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immateriális javak+tárgyi eszközök+vevők arányában osztódik.</w:t>
            </w:r>
          </w:p>
        </w:tc>
      </w:tr>
      <w:tr w:rsidR="008B36BA" w:rsidRPr="00286FAA">
        <w:trPr>
          <w:trHeight w:val="563"/>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IV.</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PÉNZESZKÖZÖK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immateriális javak+tárgyi eszközök+vevők arányában osztódik.</w:t>
            </w:r>
          </w:p>
        </w:tc>
      </w:tr>
      <w:tr w:rsidR="008B36BA" w:rsidRPr="00286FAA">
        <w:trPr>
          <w:trHeight w:val="670"/>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C.</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Aktív időbeli elhatárolások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immateriális javak+tárgyi eszközök+vevők arányában osztódik.</w:t>
            </w:r>
          </w:p>
        </w:tc>
      </w:tr>
      <w:tr w:rsidR="008B36BA" w:rsidRPr="00286FAA">
        <w:trPr>
          <w:trHeight w:val="33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Eszközök összesen</w:t>
            </w:r>
          </w:p>
        </w:tc>
        <w:tc>
          <w:tcPr>
            <w:tcW w:w="6398"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D.</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Saját tőke</w:t>
            </w:r>
          </w:p>
        </w:tc>
        <w:tc>
          <w:tcPr>
            <w:tcW w:w="6398" w:type="dxa"/>
            <w:tcBorders>
              <w:top w:val="nil"/>
              <w:left w:val="nil"/>
              <w:bottom w:val="single" w:sz="4" w:space="0" w:color="auto"/>
              <w:right w:val="single" w:sz="4" w:space="0" w:color="auto"/>
            </w:tcBorders>
            <w:vAlign w:val="center"/>
          </w:tcPr>
          <w:p w:rsidR="008B36BA" w:rsidRPr="00286FAA" w:rsidRDefault="008B36BA" w:rsidP="006E41F3">
            <w:pPr>
              <w:pStyle w:val="Listaszerbekezds"/>
              <w:rPr>
                <w:rFonts w:ascii="Times New Roman" w:hAnsi="Times New Roman" w:cs="Times New Roman"/>
              </w:rPr>
            </w:pPr>
            <w:r w:rsidRPr="00286FAA">
              <w:rPr>
                <w:rFonts w:ascii="Times New Roman" w:hAnsi="Times New Roman" w:cs="Times New Roman"/>
              </w:rPr>
              <w:t>Részben a tevékenységenkénti mérlegfőösszegek arányában osztódik, részben az analitikus nyilvántartások szerinti tételes elkülönítéssel határozzuk meg.</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E.</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Céltartalékok</w:t>
            </w:r>
          </w:p>
        </w:tc>
        <w:tc>
          <w:tcPr>
            <w:tcW w:w="6398"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Az analitikus nyilvántartások szerinti tételes elkülönítéssel határozzuk meg.</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F.</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Kötelezettségek</w:t>
            </w:r>
          </w:p>
        </w:tc>
        <w:tc>
          <w:tcPr>
            <w:tcW w:w="6398" w:type="dxa"/>
            <w:tcBorders>
              <w:top w:val="nil"/>
              <w:left w:val="nil"/>
              <w:bottom w:val="single" w:sz="4" w:space="0" w:color="auto"/>
              <w:right w:val="single" w:sz="4" w:space="0" w:color="auto"/>
            </w:tcBorders>
            <w:vAlign w:val="center"/>
          </w:tcPr>
          <w:p w:rsidR="008B36BA" w:rsidRPr="00286FAA" w:rsidRDefault="008B36BA" w:rsidP="006E41F3">
            <w:pPr>
              <w:pStyle w:val="Listaszerbekezds"/>
              <w:rPr>
                <w:rFonts w:ascii="Times New Roman" w:hAnsi="Times New Roman" w:cs="Times New Roman"/>
              </w:rPr>
            </w:pPr>
            <w:r w:rsidRPr="00286FAA">
              <w:rPr>
                <w:rFonts w:ascii="Times New Roman" w:hAnsi="Times New Roman" w:cs="Times New Roman"/>
              </w:rPr>
              <w:t>A tevékenységenkénti mérlegfőösszegek arányában osztódik.</w:t>
            </w:r>
          </w:p>
        </w:tc>
      </w:tr>
      <w:tr w:rsidR="008B36BA" w:rsidRPr="00286FAA">
        <w:trPr>
          <w:trHeight w:val="84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G.</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Passzív időbeli elhatárolások</w:t>
            </w:r>
          </w:p>
        </w:tc>
        <w:tc>
          <w:tcPr>
            <w:tcW w:w="6398" w:type="dxa"/>
            <w:tcBorders>
              <w:top w:val="nil"/>
              <w:left w:val="nil"/>
              <w:bottom w:val="single" w:sz="4" w:space="0" w:color="auto"/>
              <w:right w:val="single" w:sz="4" w:space="0" w:color="auto"/>
            </w:tcBorders>
            <w:vAlign w:val="center"/>
          </w:tcPr>
          <w:p w:rsidR="008B36BA" w:rsidRPr="00286FAA" w:rsidRDefault="008B36BA" w:rsidP="006E41F3">
            <w:pPr>
              <w:pStyle w:val="Listaszerbekezds"/>
              <w:rPr>
                <w:rFonts w:ascii="Times New Roman" w:hAnsi="Times New Roman" w:cs="Times New Roman"/>
              </w:rPr>
            </w:pPr>
            <w:r w:rsidRPr="00286FAA">
              <w:rPr>
                <w:rFonts w:ascii="Times New Roman" w:hAnsi="Times New Roman" w:cs="Times New Roman"/>
              </w:rPr>
              <w:t>A tevékenységenkénti mérlegfőösszegek arányában osztódik.</w:t>
            </w:r>
          </w:p>
        </w:tc>
      </w:tr>
      <w:tr w:rsidR="008B36BA" w:rsidRPr="00286FAA">
        <w:trPr>
          <w:trHeight w:val="335"/>
        </w:trPr>
        <w:tc>
          <w:tcPr>
            <w:tcW w:w="1308" w:type="dxa"/>
            <w:tcBorders>
              <w:top w:val="nil"/>
              <w:left w:val="single" w:sz="4" w:space="0" w:color="auto"/>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 </w:t>
            </w:r>
          </w:p>
        </w:tc>
        <w:tc>
          <w:tcPr>
            <w:tcW w:w="3074" w:type="dxa"/>
            <w:tcBorders>
              <w:top w:val="nil"/>
              <w:left w:val="nil"/>
              <w:bottom w:val="single" w:sz="4" w:space="0" w:color="auto"/>
              <w:right w:val="single" w:sz="4" w:space="0" w:color="auto"/>
            </w:tcBorders>
            <w:vAlign w:val="center"/>
          </w:tcPr>
          <w:p w:rsidR="008B36BA" w:rsidRPr="00286FAA" w:rsidRDefault="008B36BA" w:rsidP="003F0646">
            <w:pPr>
              <w:pStyle w:val="Listaszerbekezds"/>
              <w:rPr>
                <w:rFonts w:ascii="Times New Roman" w:hAnsi="Times New Roman" w:cs="Times New Roman"/>
                <w:b/>
                <w:bCs/>
              </w:rPr>
            </w:pPr>
            <w:r w:rsidRPr="00286FAA">
              <w:rPr>
                <w:rFonts w:ascii="Times New Roman" w:hAnsi="Times New Roman" w:cs="Times New Roman"/>
                <w:b/>
                <w:bCs/>
              </w:rPr>
              <w:t>Források összesen</w:t>
            </w:r>
          </w:p>
        </w:tc>
        <w:tc>
          <w:tcPr>
            <w:tcW w:w="6398" w:type="dxa"/>
            <w:tcBorders>
              <w:top w:val="nil"/>
              <w:left w:val="nil"/>
              <w:bottom w:val="single" w:sz="4" w:space="0" w:color="auto"/>
              <w:right w:val="single" w:sz="4" w:space="0" w:color="auto"/>
            </w:tcBorders>
            <w:noWrap/>
            <w:vAlign w:val="center"/>
          </w:tcPr>
          <w:p w:rsidR="008B36BA" w:rsidRPr="00286FAA" w:rsidRDefault="008B36BA" w:rsidP="003F0646">
            <w:pPr>
              <w:pStyle w:val="Listaszerbekezds"/>
              <w:rPr>
                <w:rFonts w:ascii="Times New Roman" w:hAnsi="Times New Roman" w:cs="Times New Roman"/>
              </w:rPr>
            </w:pPr>
            <w:r w:rsidRPr="00286FAA">
              <w:rPr>
                <w:rFonts w:ascii="Times New Roman" w:hAnsi="Times New Roman" w:cs="Times New Roman"/>
              </w:rPr>
              <w:t>Számított adat.</w:t>
            </w:r>
          </w:p>
        </w:tc>
      </w:tr>
    </w:tbl>
    <w:p w:rsidR="008B36BA" w:rsidRPr="00286FAA" w:rsidRDefault="008B36BA" w:rsidP="006E41F3">
      <w:pPr>
        <w:rPr>
          <w:rFonts w:ascii="Times New Roman" w:hAnsi="Times New Roman" w:cs="Times New Roman"/>
        </w:rPr>
      </w:pPr>
    </w:p>
    <w:sectPr w:rsidR="008B36BA" w:rsidRPr="00286FAA" w:rsidSect="00EC3837">
      <w:footerReference w:type="default" r:id="rId9"/>
      <w:pgSz w:w="11907" w:h="16839" w:code="9"/>
      <w:pgMar w:top="1836" w:right="1751" w:bottom="1448" w:left="1751" w:header="709" w:footer="709" w:gutter="0"/>
      <w:pgNumType w:start="0"/>
      <w:cols w:space="708"/>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6BA" w:rsidRDefault="008B36BA">
      <w:pPr>
        <w:spacing w:after="0" w:line="240" w:lineRule="auto"/>
      </w:pPr>
      <w:r>
        <w:separator/>
      </w:r>
    </w:p>
  </w:endnote>
  <w:endnote w:type="continuationSeparator" w:id="0">
    <w:p w:rsidR="008B36BA" w:rsidRDefault="008B36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6BA" w:rsidRPr="00F62B50" w:rsidRDefault="00DF26D2">
    <w:pPr>
      <w:pStyle w:val="llb0"/>
      <w:jc w:val="center"/>
      <w:rPr>
        <w:rFonts w:ascii="Times New Roman" w:hAnsi="Times New Roman"/>
      </w:rPr>
    </w:pPr>
    <w:r w:rsidRPr="00F62B50">
      <w:rPr>
        <w:rFonts w:ascii="Times New Roman" w:hAnsi="Times New Roman"/>
      </w:rPr>
      <w:fldChar w:fldCharType="begin"/>
    </w:r>
    <w:r w:rsidR="00BC69D2" w:rsidRPr="00F62B50">
      <w:rPr>
        <w:rFonts w:ascii="Times New Roman" w:hAnsi="Times New Roman"/>
      </w:rPr>
      <w:instrText>PAGE   \* MERGEFORMAT</w:instrText>
    </w:r>
    <w:r w:rsidRPr="00F62B50">
      <w:rPr>
        <w:rFonts w:ascii="Times New Roman" w:hAnsi="Times New Roman"/>
      </w:rPr>
      <w:fldChar w:fldCharType="separate"/>
    </w:r>
    <w:r w:rsidR="008E0C22">
      <w:rPr>
        <w:rFonts w:ascii="Times New Roman" w:hAnsi="Times New Roman"/>
        <w:noProof/>
      </w:rPr>
      <w:t>15</w:t>
    </w:r>
    <w:r w:rsidRPr="00F62B50">
      <w:rPr>
        <w:rFonts w:ascii="Times New Roman" w:hAnsi="Times New Roman"/>
      </w:rPr>
      <w:fldChar w:fldCharType="end"/>
    </w:r>
  </w:p>
  <w:p w:rsidR="008B36BA" w:rsidRDefault="008B36BA">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6BA" w:rsidRDefault="008B36BA">
      <w:pPr>
        <w:spacing w:after="0" w:line="240" w:lineRule="auto"/>
      </w:pPr>
      <w:r>
        <w:separator/>
      </w:r>
    </w:p>
  </w:footnote>
  <w:footnote w:type="continuationSeparator" w:id="0">
    <w:p w:rsidR="008B36BA" w:rsidRDefault="008B36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87E3E76"/>
    <w:lvl w:ilvl="0">
      <w:start w:val="1"/>
      <w:numFmt w:val="decimal"/>
      <w:pStyle w:val="Szmozottlista"/>
      <w:lvlText w:val="%1."/>
      <w:lvlJc w:val="left"/>
      <w:pPr>
        <w:tabs>
          <w:tab w:val="num" w:pos="360"/>
        </w:tabs>
        <w:ind w:left="360" w:hanging="360"/>
      </w:pPr>
    </w:lvl>
  </w:abstractNum>
  <w:abstractNum w:abstractNumId="1">
    <w:nsid w:val="FFFFFF89"/>
    <w:multiLevelType w:val="singleLevel"/>
    <w:tmpl w:val="1206D1A0"/>
    <w:lvl w:ilvl="0">
      <w:start w:val="1"/>
      <w:numFmt w:val="bullet"/>
      <w:pStyle w:val="Felsorols"/>
      <w:lvlText w:val="−"/>
      <w:lvlJc w:val="left"/>
      <w:pPr>
        <w:ind w:left="720" w:hanging="360"/>
      </w:pPr>
      <w:rPr>
        <w:rFonts w:ascii="Century Gothic" w:hAnsi="Century Gothic" w:cs="Century Gothic" w:hint="default"/>
        <w:color w:val="auto"/>
      </w:rPr>
    </w:lvl>
  </w:abstractNum>
  <w:abstractNum w:abstractNumId="2">
    <w:nsid w:val="23D96D75"/>
    <w:multiLevelType w:val="hybridMultilevel"/>
    <w:tmpl w:val="D5629432"/>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3">
    <w:nsid w:val="3A9F1DAE"/>
    <w:multiLevelType w:val="hybridMultilevel"/>
    <w:tmpl w:val="03F6484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nsid w:val="4A600A23"/>
    <w:multiLevelType w:val="multilevel"/>
    <w:tmpl w:val="8436731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5">
    <w:nsid w:val="54436771"/>
    <w:multiLevelType w:val="hybridMultilevel"/>
    <w:tmpl w:val="4852C942"/>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6">
    <w:nsid w:val="56F94D0E"/>
    <w:multiLevelType w:val="hybridMultilevel"/>
    <w:tmpl w:val="A1664574"/>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7">
    <w:nsid w:val="59013561"/>
    <w:multiLevelType w:val="hybridMultilevel"/>
    <w:tmpl w:val="2F16B2C6"/>
    <w:lvl w:ilvl="0" w:tplc="040E0001">
      <w:start w:val="1"/>
      <w:numFmt w:val="bullet"/>
      <w:lvlText w:val=""/>
      <w:lvlJc w:val="left"/>
      <w:pPr>
        <w:ind w:left="720" w:hanging="360"/>
      </w:pPr>
      <w:rPr>
        <w:rFonts w:ascii="Symbol" w:hAnsi="Symbol" w:cs="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8">
    <w:nsid w:val="7E0E28DB"/>
    <w:multiLevelType w:val="hybridMultilevel"/>
    <w:tmpl w:val="34865FDE"/>
    <w:lvl w:ilvl="0" w:tplc="040E0001">
      <w:start w:val="1"/>
      <w:numFmt w:val="bullet"/>
      <w:lvlText w:val=""/>
      <w:lvlJc w:val="left"/>
      <w:pPr>
        <w:ind w:left="1287" w:hanging="360"/>
      </w:pPr>
      <w:rPr>
        <w:rFonts w:ascii="Symbol" w:hAnsi="Symbol" w:cs="Symbol" w:hint="default"/>
      </w:rPr>
    </w:lvl>
    <w:lvl w:ilvl="1" w:tplc="040E0003">
      <w:start w:val="1"/>
      <w:numFmt w:val="bullet"/>
      <w:lvlText w:val="o"/>
      <w:lvlJc w:val="left"/>
      <w:pPr>
        <w:ind w:left="2007" w:hanging="360"/>
      </w:pPr>
      <w:rPr>
        <w:rFonts w:ascii="Courier New" w:hAnsi="Courier New" w:cs="Courier New" w:hint="default"/>
      </w:rPr>
    </w:lvl>
    <w:lvl w:ilvl="2" w:tplc="040E0005">
      <w:start w:val="1"/>
      <w:numFmt w:val="bullet"/>
      <w:lvlText w:val=""/>
      <w:lvlJc w:val="left"/>
      <w:pPr>
        <w:ind w:left="2727" w:hanging="360"/>
      </w:pPr>
      <w:rPr>
        <w:rFonts w:ascii="Wingdings" w:hAnsi="Wingdings" w:cs="Wingdings" w:hint="default"/>
      </w:rPr>
    </w:lvl>
    <w:lvl w:ilvl="3" w:tplc="040E0001">
      <w:start w:val="1"/>
      <w:numFmt w:val="bullet"/>
      <w:lvlText w:val=""/>
      <w:lvlJc w:val="left"/>
      <w:pPr>
        <w:ind w:left="3447" w:hanging="360"/>
      </w:pPr>
      <w:rPr>
        <w:rFonts w:ascii="Symbol" w:hAnsi="Symbol" w:cs="Symbol" w:hint="default"/>
      </w:rPr>
    </w:lvl>
    <w:lvl w:ilvl="4" w:tplc="040E0003">
      <w:start w:val="1"/>
      <w:numFmt w:val="bullet"/>
      <w:lvlText w:val="o"/>
      <w:lvlJc w:val="left"/>
      <w:pPr>
        <w:ind w:left="4167" w:hanging="360"/>
      </w:pPr>
      <w:rPr>
        <w:rFonts w:ascii="Courier New" w:hAnsi="Courier New" w:cs="Courier New" w:hint="default"/>
      </w:rPr>
    </w:lvl>
    <w:lvl w:ilvl="5" w:tplc="040E0005">
      <w:start w:val="1"/>
      <w:numFmt w:val="bullet"/>
      <w:lvlText w:val=""/>
      <w:lvlJc w:val="left"/>
      <w:pPr>
        <w:ind w:left="4887" w:hanging="360"/>
      </w:pPr>
      <w:rPr>
        <w:rFonts w:ascii="Wingdings" w:hAnsi="Wingdings" w:cs="Wingdings" w:hint="default"/>
      </w:rPr>
    </w:lvl>
    <w:lvl w:ilvl="6" w:tplc="040E0001">
      <w:start w:val="1"/>
      <w:numFmt w:val="bullet"/>
      <w:lvlText w:val=""/>
      <w:lvlJc w:val="left"/>
      <w:pPr>
        <w:ind w:left="5607" w:hanging="360"/>
      </w:pPr>
      <w:rPr>
        <w:rFonts w:ascii="Symbol" w:hAnsi="Symbol" w:cs="Symbol" w:hint="default"/>
      </w:rPr>
    </w:lvl>
    <w:lvl w:ilvl="7" w:tplc="040E0003">
      <w:start w:val="1"/>
      <w:numFmt w:val="bullet"/>
      <w:lvlText w:val="o"/>
      <w:lvlJc w:val="left"/>
      <w:pPr>
        <w:ind w:left="6327" w:hanging="360"/>
      </w:pPr>
      <w:rPr>
        <w:rFonts w:ascii="Courier New" w:hAnsi="Courier New" w:cs="Courier New" w:hint="default"/>
      </w:rPr>
    </w:lvl>
    <w:lvl w:ilvl="8" w:tplc="040E0005">
      <w:start w:val="1"/>
      <w:numFmt w:val="bullet"/>
      <w:lvlText w:val=""/>
      <w:lvlJc w:val="left"/>
      <w:pPr>
        <w:ind w:left="7047" w:hanging="360"/>
      </w:pPr>
      <w:rPr>
        <w:rFonts w:ascii="Wingdings" w:hAnsi="Wingdings" w:cs="Wingdings"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4"/>
  </w:num>
  <w:num w:numId="8">
    <w:abstractNumId w:val="5"/>
  </w:num>
  <w:num w:numId="9">
    <w:abstractNumId w:val="8"/>
  </w:num>
  <w:num w:numId="10">
    <w:abstractNumId w:val="7"/>
  </w:num>
  <w:num w:numId="11">
    <w:abstractNumId w:val="6"/>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9"/>
  <w:hyphenationZone w:val="420"/>
  <w:doNotHyphenateCaps/>
  <w:characterSpacingControl w:val="doNotCompress"/>
  <w:doNotValidateAgainstSchema/>
  <w:doNotDemarcateInvalidXml/>
  <w:footnotePr>
    <w:footnote w:id="-1"/>
    <w:footnote w:id="0"/>
  </w:footnotePr>
  <w:endnotePr>
    <w:endnote w:id="-1"/>
    <w:endnote w:id="0"/>
  </w:endnotePr>
  <w:compat/>
  <w:rsids>
    <w:rsidRoot w:val="00FF648F"/>
    <w:rsid w:val="00005D50"/>
    <w:rsid w:val="0002763D"/>
    <w:rsid w:val="00036C69"/>
    <w:rsid w:val="00051163"/>
    <w:rsid w:val="0005543F"/>
    <w:rsid w:val="00056178"/>
    <w:rsid w:val="00056BBE"/>
    <w:rsid w:val="000601B7"/>
    <w:rsid w:val="000A4697"/>
    <w:rsid w:val="000E024F"/>
    <w:rsid w:val="000F32AA"/>
    <w:rsid w:val="000F4C1F"/>
    <w:rsid w:val="0010430D"/>
    <w:rsid w:val="001060AA"/>
    <w:rsid w:val="001108FF"/>
    <w:rsid w:val="00111135"/>
    <w:rsid w:val="001119C5"/>
    <w:rsid w:val="001222F0"/>
    <w:rsid w:val="00126D42"/>
    <w:rsid w:val="00132449"/>
    <w:rsid w:val="00151A07"/>
    <w:rsid w:val="001613DD"/>
    <w:rsid w:val="001666B7"/>
    <w:rsid w:val="00180623"/>
    <w:rsid w:val="00190EFD"/>
    <w:rsid w:val="00195EDA"/>
    <w:rsid w:val="0019768D"/>
    <w:rsid w:val="001B2AEE"/>
    <w:rsid w:val="001D48CC"/>
    <w:rsid w:val="001E5326"/>
    <w:rsid w:val="001E5339"/>
    <w:rsid w:val="001F3C96"/>
    <w:rsid w:val="002045AC"/>
    <w:rsid w:val="00241AB4"/>
    <w:rsid w:val="0024408C"/>
    <w:rsid w:val="00251666"/>
    <w:rsid w:val="00253FFB"/>
    <w:rsid w:val="002559EF"/>
    <w:rsid w:val="00270F14"/>
    <w:rsid w:val="00274E94"/>
    <w:rsid w:val="002755F2"/>
    <w:rsid w:val="00286FAA"/>
    <w:rsid w:val="00291465"/>
    <w:rsid w:val="00295CC3"/>
    <w:rsid w:val="002A609C"/>
    <w:rsid w:val="002A61A2"/>
    <w:rsid w:val="002D2C7B"/>
    <w:rsid w:val="002E16AD"/>
    <w:rsid w:val="002F4653"/>
    <w:rsid w:val="00321B53"/>
    <w:rsid w:val="00373431"/>
    <w:rsid w:val="00375056"/>
    <w:rsid w:val="00392196"/>
    <w:rsid w:val="003A17BA"/>
    <w:rsid w:val="003B00FC"/>
    <w:rsid w:val="003D605A"/>
    <w:rsid w:val="003E4098"/>
    <w:rsid w:val="003E6F97"/>
    <w:rsid w:val="003F0646"/>
    <w:rsid w:val="003F4F86"/>
    <w:rsid w:val="00401900"/>
    <w:rsid w:val="004157D8"/>
    <w:rsid w:val="004321A8"/>
    <w:rsid w:val="00436E7B"/>
    <w:rsid w:val="00450AD5"/>
    <w:rsid w:val="00460215"/>
    <w:rsid w:val="00462E24"/>
    <w:rsid w:val="004636C3"/>
    <w:rsid w:val="00473CC9"/>
    <w:rsid w:val="0048455E"/>
    <w:rsid w:val="00486A95"/>
    <w:rsid w:val="004B469F"/>
    <w:rsid w:val="004C1929"/>
    <w:rsid w:val="004C4258"/>
    <w:rsid w:val="004C545B"/>
    <w:rsid w:val="004E73A5"/>
    <w:rsid w:val="004F6367"/>
    <w:rsid w:val="00537BB2"/>
    <w:rsid w:val="00566036"/>
    <w:rsid w:val="005730E2"/>
    <w:rsid w:val="0058772E"/>
    <w:rsid w:val="00593BF2"/>
    <w:rsid w:val="00594ECB"/>
    <w:rsid w:val="005B3091"/>
    <w:rsid w:val="005E72E2"/>
    <w:rsid w:val="005F23B6"/>
    <w:rsid w:val="00600DA9"/>
    <w:rsid w:val="0060457F"/>
    <w:rsid w:val="00610635"/>
    <w:rsid w:val="0061793D"/>
    <w:rsid w:val="00622FE2"/>
    <w:rsid w:val="00636D35"/>
    <w:rsid w:val="00642D7B"/>
    <w:rsid w:val="00644481"/>
    <w:rsid w:val="00651373"/>
    <w:rsid w:val="0067061F"/>
    <w:rsid w:val="00672F57"/>
    <w:rsid w:val="00675C20"/>
    <w:rsid w:val="00683E23"/>
    <w:rsid w:val="006853DE"/>
    <w:rsid w:val="006934A0"/>
    <w:rsid w:val="006A0AE9"/>
    <w:rsid w:val="006A454E"/>
    <w:rsid w:val="006A7F55"/>
    <w:rsid w:val="006B190D"/>
    <w:rsid w:val="006D0183"/>
    <w:rsid w:val="006D27D6"/>
    <w:rsid w:val="006D298D"/>
    <w:rsid w:val="006D363E"/>
    <w:rsid w:val="006D76B5"/>
    <w:rsid w:val="006E008E"/>
    <w:rsid w:val="006E41F3"/>
    <w:rsid w:val="006E792A"/>
    <w:rsid w:val="0070122A"/>
    <w:rsid w:val="00705F23"/>
    <w:rsid w:val="007067BF"/>
    <w:rsid w:val="00711A93"/>
    <w:rsid w:val="00730AF2"/>
    <w:rsid w:val="00751367"/>
    <w:rsid w:val="0076673B"/>
    <w:rsid w:val="0077642B"/>
    <w:rsid w:val="00780E73"/>
    <w:rsid w:val="00795DE4"/>
    <w:rsid w:val="007A39AE"/>
    <w:rsid w:val="007B3991"/>
    <w:rsid w:val="007B6E16"/>
    <w:rsid w:val="007D5C9E"/>
    <w:rsid w:val="007E24D5"/>
    <w:rsid w:val="007E4267"/>
    <w:rsid w:val="00816189"/>
    <w:rsid w:val="00821E6D"/>
    <w:rsid w:val="00822578"/>
    <w:rsid w:val="0083253D"/>
    <w:rsid w:val="00835FD1"/>
    <w:rsid w:val="00842BB9"/>
    <w:rsid w:val="00845133"/>
    <w:rsid w:val="0085313E"/>
    <w:rsid w:val="008574AC"/>
    <w:rsid w:val="008647DC"/>
    <w:rsid w:val="008666DF"/>
    <w:rsid w:val="0086783C"/>
    <w:rsid w:val="008702D3"/>
    <w:rsid w:val="00877D34"/>
    <w:rsid w:val="00886A3C"/>
    <w:rsid w:val="00886D10"/>
    <w:rsid w:val="008902CE"/>
    <w:rsid w:val="0089098E"/>
    <w:rsid w:val="008970AB"/>
    <w:rsid w:val="008A644B"/>
    <w:rsid w:val="008B2286"/>
    <w:rsid w:val="008B36BA"/>
    <w:rsid w:val="008B79BD"/>
    <w:rsid w:val="008D66CE"/>
    <w:rsid w:val="008E0378"/>
    <w:rsid w:val="008E0C22"/>
    <w:rsid w:val="008E4B9C"/>
    <w:rsid w:val="008F30CE"/>
    <w:rsid w:val="00906B53"/>
    <w:rsid w:val="0091715B"/>
    <w:rsid w:val="00923E55"/>
    <w:rsid w:val="00924688"/>
    <w:rsid w:val="00927E40"/>
    <w:rsid w:val="009316C5"/>
    <w:rsid w:val="0094677A"/>
    <w:rsid w:val="00950067"/>
    <w:rsid w:val="00966093"/>
    <w:rsid w:val="009A226F"/>
    <w:rsid w:val="009B4552"/>
    <w:rsid w:val="009C2B29"/>
    <w:rsid w:val="009C3456"/>
    <w:rsid w:val="009F32D1"/>
    <w:rsid w:val="009F3324"/>
    <w:rsid w:val="00A04481"/>
    <w:rsid w:val="00A06AF6"/>
    <w:rsid w:val="00A23328"/>
    <w:rsid w:val="00A42071"/>
    <w:rsid w:val="00A42717"/>
    <w:rsid w:val="00A9426C"/>
    <w:rsid w:val="00A979FB"/>
    <w:rsid w:val="00AA2B3A"/>
    <w:rsid w:val="00AD5E7C"/>
    <w:rsid w:val="00AD6791"/>
    <w:rsid w:val="00AE1663"/>
    <w:rsid w:val="00B0511E"/>
    <w:rsid w:val="00B07370"/>
    <w:rsid w:val="00B3367E"/>
    <w:rsid w:val="00B3739C"/>
    <w:rsid w:val="00B53683"/>
    <w:rsid w:val="00B71516"/>
    <w:rsid w:val="00B7159C"/>
    <w:rsid w:val="00B73391"/>
    <w:rsid w:val="00B74577"/>
    <w:rsid w:val="00B81667"/>
    <w:rsid w:val="00B84C1A"/>
    <w:rsid w:val="00BC0068"/>
    <w:rsid w:val="00BC69D2"/>
    <w:rsid w:val="00BE2367"/>
    <w:rsid w:val="00BF1772"/>
    <w:rsid w:val="00BF3C51"/>
    <w:rsid w:val="00BF4FD6"/>
    <w:rsid w:val="00BF680F"/>
    <w:rsid w:val="00C057F2"/>
    <w:rsid w:val="00C12787"/>
    <w:rsid w:val="00C133C6"/>
    <w:rsid w:val="00C35230"/>
    <w:rsid w:val="00C36C08"/>
    <w:rsid w:val="00C3723C"/>
    <w:rsid w:val="00C4710C"/>
    <w:rsid w:val="00C55D86"/>
    <w:rsid w:val="00C5685D"/>
    <w:rsid w:val="00C60A93"/>
    <w:rsid w:val="00C67392"/>
    <w:rsid w:val="00C760EF"/>
    <w:rsid w:val="00CB67DE"/>
    <w:rsid w:val="00CC658C"/>
    <w:rsid w:val="00CD179D"/>
    <w:rsid w:val="00CD1B5D"/>
    <w:rsid w:val="00CD5888"/>
    <w:rsid w:val="00CD73F3"/>
    <w:rsid w:val="00CE090E"/>
    <w:rsid w:val="00CE49D8"/>
    <w:rsid w:val="00CF2D7B"/>
    <w:rsid w:val="00D028FE"/>
    <w:rsid w:val="00D02EE8"/>
    <w:rsid w:val="00D15E72"/>
    <w:rsid w:val="00D35DC7"/>
    <w:rsid w:val="00D3786C"/>
    <w:rsid w:val="00D41EAA"/>
    <w:rsid w:val="00D5013A"/>
    <w:rsid w:val="00D540E9"/>
    <w:rsid w:val="00D56051"/>
    <w:rsid w:val="00D64BDA"/>
    <w:rsid w:val="00D827C7"/>
    <w:rsid w:val="00D94A99"/>
    <w:rsid w:val="00DC0A14"/>
    <w:rsid w:val="00DD1133"/>
    <w:rsid w:val="00DD2DEF"/>
    <w:rsid w:val="00DD44E9"/>
    <w:rsid w:val="00DD582B"/>
    <w:rsid w:val="00DF26D2"/>
    <w:rsid w:val="00E0672E"/>
    <w:rsid w:val="00E14912"/>
    <w:rsid w:val="00E350FE"/>
    <w:rsid w:val="00E35475"/>
    <w:rsid w:val="00E4045E"/>
    <w:rsid w:val="00E5308E"/>
    <w:rsid w:val="00E562F1"/>
    <w:rsid w:val="00E72011"/>
    <w:rsid w:val="00E73FF8"/>
    <w:rsid w:val="00E834CB"/>
    <w:rsid w:val="00E876C3"/>
    <w:rsid w:val="00EA4B0B"/>
    <w:rsid w:val="00EB1144"/>
    <w:rsid w:val="00EB330C"/>
    <w:rsid w:val="00EC3837"/>
    <w:rsid w:val="00F01359"/>
    <w:rsid w:val="00F10519"/>
    <w:rsid w:val="00F12B61"/>
    <w:rsid w:val="00F21F7B"/>
    <w:rsid w:val="00F34260"/>
    <w:rsid w:val="00F41CBE"/>
    <w:rsid w:val="00F62B50"/>
    <w:rsid w:val="00F90F1F"/>
    <w:rsid w:val="00F95558"/>
    <w:rsid w:val="00FA39E3"/>
    <w:rsid w:val="00FB29CC"/>
    <w:rsid w:val="00FB2D77"/>
    <w:rsid w:val="00FC13F0"/>
    <w:rsid w:val="00FC519E"/>
    <w:rsid w:val="00FC7ADF"/>
    <w:rsid w:val="00FE0B44"/>
    <w:rsid w:val="00FE0F8A"/>
    <w:rsid w:val="00FE0FAC"/>
    <w:rsid w:val="00FE418E"/>
    <w:rsid w:val="00FE537F"/>
    <w:rsid w:val="00FF648F"/>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nstantia" w:eastAsia="Times New Roman" w:hAnsi="Constantia" w:cs="Times New Roman"/>
        <w:sz w:val="22"/>
        <w:szCs w:val="22"/>
        <w:lang w:val="hu-HU" w:eastAsia="hu-H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
    <w:name w:val="Normal"/>
    <w:qFormat/>
    <w:rsid w:val="00FF648F"/>
    <w:pPr>
      <w:spacing w:after="200" w:line="288" w:lineRule="auto"/>
    </w:pPr>
    <w:rPr>
      <w:rFonts w:cs="Constantia"/>
      <w:sz w:val="21"/>
      <w:szCs w:val="21"/>
    </w:rPr>
  </w:style>
  <w:style w:type="paragraph" w:styleId="Cmsor1">
    <w:name w:val="heading 1"/>
    <w:basedOn w:val="Norml"/>
    <w:next w:val="Norml"/>
    <w:link w:val="Cmsor1Char"/>
    <w:uiPriority w:val="99"/>
    <w:qFormat/>
    <w:rsid w:val="00FF648F"/>
    <w:pPr>
      <w:keepNext/>
      <w:keepLines/>
      <w:spacing w:before="360" w:after="40" w:line="240" w:lineRule="auto"/>
      <w:outlineLvl w:val="0"/>
    </w:pPr>
    <w:rPr>
      <w:color w:val="393939"/>
      <w:sz w:val="40"/>
      <w:szCs w:val="40"/>
    </w:rPr>
  </w:style>
  <w:style w:type="paragraph" w:styleId="Cmsor2">
    <w:name w:val="heading 2"/>
    <w:basedOn w:val="Norml"/>
    <w:next w:val="Norml"/>
    <w:link w:val="Cmsor2Char"/>
    <w:uiPriority w:val="99"/>
    <w:qFormat/>
    <w:rsid w:val="00FF648F"/>
    <w:pPr>
      <w:keepNext/>
      <w:keepLines/>
      <w:spacing w:before="80" w:after="0" w:line="240" w:lineRule="auto"/>
      <w:outlineLvl w:val="1"/>
    </w:pPr>
    <w:rPr>
      <w:color w:val="393939"/>
      <w:sz w:val="28"/>
      <w:szCs w:val="28"/>
    </w:rPr>
  </w:style>
  <w:style w:type="paragraph" w:styleId="Cmsor3">
    <w:name w:val="heading 3"/>
    <w:basedOn w:val="Norml"/>
    <w:next w:val="Norml"/>
    <w:link w:val="Cmsor3Char"/>
    <w:uiPriority w:val="99"/>
    <w:qFormat/>
    <w:rsid w:val="00FF648F"/>
    <w:pPr>
      <w:keepNext/>
      <w:keepLines/>
      <w:spacing w:before="80" w:after="0" w:line="240" w:lineRule="auto"/>
      <w:outlineLvl w:val="2"/>
    </w:pPr>
    <w:rPr>
      <w:color w:val="393939"/>
      <w:sz w:val="24"/>
      <w:szCs w:val="24"/>
    </w:rPr>
  </w:style>
  <w:style w:type="paragraph" w:styleId="Cmsor4">
    <w:name w:val="heading 4"/>
    <w:basedOn w:val="Norml"/>
    <w:next w:val="Norml"/>
    <w:link w:val="Cmsor4Char"/>
    <w:uiPriority w:val="99"/>
    <w:qFormat/>
    <w:rsid w:val="00FF648F"/>
    <w:pPr>
      <w:keepNext/>
      <w:keepLines/>
      <w:spacing w:before="80" w:after="0"/>
      <w:outlineLvl w:val="3"/>
    </w:pPr>
    <w:rPr>
      <w:color w:val="4D4D4D"/>
      <w:sz w:val="22"/>
      <w:szCs w:val="22"/>
    </w:rPr>
  </w:style>
  <w:style w:type="paragraph" w:styleId="Cmsor5">
    <w:name w:val="heading 5"/>
    <w:basedOn w:val="Norml"/>
    <w:next w:val="Norml"/>
    <w:link w:val="Cmsor5Char"/>
    <w:uiPriority w:val="99"/>
    <w:qFormat/>
    <w:rsid w:val="00FF648F"/>
    <w:pPr>
      <w:keepNext/>
      <w:keepLines/>
      <w:spacing w:before="40" w:after="0"/>
      <w:outlineLvl w:val="4"/>
    </w:pPr>
    <w:rPr>
      <w:i/>
      <w:iCs/>
      <w:color w:val="4D4D4D"/>
      <w:sz w:val="22"/>
      <w:szCs w:val="22"/>
    </w:rPr>
  </w:style>
  <w:style w:type="paragraph" w:styleId="Cmsor6">
    <w:name w:val="heading 6"/>
    <w:basedOn w:val="Norml"/>
    <w:next w:val="Norml"/>
    <w:link w:val="Cmsor6Char"/>
    <w:uiPriority w:val="99"/>
    <w:qFormat/>
    <w:rsid w:val="00FF648F"/>
    <w:pPr>
      <w:keepNext/>
      <w:keepLines/>
      <w:spacing w:before="40" w:after="0"/>
      <w:outlineLvl w:val="5"/>
    </w:pPr>
    <w:rPr>
      <w:color w:val="4D4D4D"/>
    </w:rPr>
  </w:style>
  <w:style w:type="paragraph" w:styleId="Cmsor7">
    <w:name w:val="heading 7"/>
    <w:basedOn w:val="Norml"/>
    <w:next w:val="Norml"/>
    <w:link w:val="Cmsor7Char"/>
    <w:uiPriority w:val="99"/>
    <w:qFormat/>
    <w:rsid w:val="00FF648F"/>
    <w:pPr>
      <w:keepNext/>
      <w:keepLines/>
      <w:spacing w:before="40" w:after="0"/>
      <w:outlineLvl w:val="6"/>
    </w:pPr>
    <w:rPr>
      <w:b/>
      <w:bCs/>
      <w:color w:val="4D4D4D"/>
    </w:rPr>
  </w:style>
  <w:style w:type="paragraph" w:styleId="Cmsor8">
    <w:name w:val="heading 8"/>
    <w:basedOn w:val="Norml"/>
    <w:next w:val="Norml"/>
    <w:link w:val="Cmsor8Char"/>
    <w:uiPriority w:val="99"/>
    <w:qFormat/>
    <w:rsid w:val="00FF648F"/>
    <w:pPr>
      <w:keepNext/>
      <w:keepLines/>
      <w:spacing w:before="40" w:after="0"/>
      <w:outlineLvl w:val="7"/>
    </w:pPr>
    <w:rPr>
      <w:b/>
      <w:bCs/>
      <w:i/>
      <w:iCs/>
      <w:color w:val="4D4D4D"/>
      <w:sz w:val="20"/>
      <w:szCs w:val="20"/>
    </w:rPr>
  </w:style>
  <w:style w:type="paragraph" w:styleId="Cmsor9">
    <w:name w:val="heading 9"/>
    <w:basedOn w:val="Norml"/>
    <w:next w:val="Norml"/>
    <w:link w:val="Cmsor9Char"/>
    <w:uiPriority w:val="99"/>
    <w:qFormat/>
    <w:rsid w:val="00FF648F"/>
    <w:pPr>
      <w:keepNext/>
      <w:keepLines/>
      <w:spacing w:before="40" w:after="0"/>
      <w:outlineLvl w:val="8"/>
    </w:pPr>
    <w:rPr>
      <w:i/>
      <w:iCs/>
      <w:color w:val="4D4D4D"/>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FF648F"/>
    <w:rPr>
      <w:rFonts w:ascii="Constantia" w:hAnsi="Constantia" w:cs="Constantia"/>
      <w:color w:val="393939"/>
      <w:sz w:val="40"/>
      <w:szCs w:val="40"/>
    </w:rPr>
  </w:style>
  <w:style w:type="character" w:customStyle="1" w:styleId="Cmsor2Char">
    <w:name w:val="Címsor 2 Char"/>
    <w:basedOn w:val="Bekezdsalapbettpusa"/>
    <w:link w:val="Cmsor2"/>
    <w:uiPriority w:val="99"/>
    <w:locked/>
    <w:rsid w:val="00FF648F"/>
    <w:rPr>
      <w:rFonts w:ascii="Constantia" w:hAnsi="Constantia" w:cs="Constantia"/>
      <w:color w:val="393939"/>
      <w:sz w:val="28"/>
      <w:szCs w:val="28"/>
    </w:rPr>
  </w:style>
  <w:style w:type="character" w:customStyle="1" w:styleId="Cmsor3Char">
    <w:name w:val="Címsor 3 Char"/>
    <w:basedOn w:val="Bekezdsalapbettpusa"/>
    <w:link w:val="Cmsor3"/>
    <w:uiPriority w:val="99"/>
    <w:locked/>
    <w:rsid w:val="00FF648F"/>
    <w:rPr>
      <w:rFonts w:ascii="Constantia" w:hAnsi="Constantia" w:cs="Constantia"/>
      <w:color w:val="393939"/>
      <w:sz w:val="24"/>
      <w:szCs w:val="24"/>
    </w:rPr>
  </w:style>
  <w:style w:type="character" w:customStyle="1" w:styleId="Cmsor4Char">
    <w:name w:val="Címsor 4 Char"/>
    <w:basedOn w:val="Bekezdsalapbettpusa"/>
    <w:link w:val="Cmsor4"/>
    <w:uiPriority w:val="99"/>
    <w:semiHidden/>
    <w:locked/>
    <w:rsid w:val="00FF648F"/>
    <w:rPr>
      <w:rFonts w:ascii="Constantia" w:hAnsi="Constantia" w:cs="Constantia"/>
      <w:color w:val="4D4D4D"/>
      <w:sz w:val="22"/>
      <w:szCs w:val="22"/>
    </w:rPr>
  </w:style>
  <w:style w:type="character" w:customStyle="1" w:styleId="Cmsor5Char">
    <w:name w:val="Címsor 5 Char"/>
    <w:basedOn w:val="Bekezdsalapbettpusa"/>
    <w:link w:val="Cmsor5"/>
    <w:uiPriority w:val="99"/>
    <w:semiHidden/>
    <w:locked/>
    <w:rsid w:val="00FF648F"/>
    <w:rPr>
      <w:rFonts w:ascii="Constantia" w:hAnsi="Constantia" w:cs="Constantia"/>
      <w:i/>
      <w:iCs/>
      <w:color w:val="4D4D4D"/>
      <w:sz w:val="22"/>
      <w:szCs w:val="22"/>
    </w:rPr>
  </w:style>
  <w:style w:type="character" w:customStyle="1" w:styleId="Cmsor6Char">
    <w:name w:val="Címsor 6 Char"/>
    <w:basedOn w:val="Bekezdsalapbettpusa"/>
    <w:link w:val="Cmsor6"/>
    <w:uiPriority w:val="99"/>
    <w:semiHidden/>
    <w:locked/>
    <w:rsid w:val="00FF648F"/>
    <w:rPr>
      <w:rFonts w:ascii="Constantia" w:hAnsi="Constantia" w:cs="Constantia"/>
      <w:color w:val="4D4D4D"/>
    </w:rPr>
  </w:style>
  <w:style w:type="character" w:customStyle="1" w:styleId="Cmsor7Char">
    <w:name w:val="Címsor 7 Char"/>
    <w:basedOn w:val="Bekezdsalapbettpusa"/>
    <w:link w:val="Cmsor7"/>
    <w:uiPriority w:val="99"/>
    <w:semiHidden/>
    <w:locked/>
    <w:rsid w:val="00FF648F"/>
    <w:rPr>
      <w:rFonts w:ascii="Constantia" w:hAnsi="Constantia" w:cs="Constantia"/>
      <w:b/>
      <w:bCs/>
      <w:color w:val="4D4D4D"/>
    </w:rPr>
  </w:style>
  <w:style w:type="character" w:customStyle="1" w:styleId="Cmsor8Char">
    <w:name w:val="Címsor 8 Char"/>
    <w:basedOn w:val="Bekezdsalapbettpusa"/>
    <w:link w:val="Cmsor8"/>
    <w:uiPriority w:val="99"/>
    <w:semiHidden/>
    <w:locked/>
    <w:rsid w:val="00FF648F"/>
    <w:rPr>
      <w:rFonts w:ascii="Constantia" w:hAnsi="Constantia" w:cs="Constantia"/>
      <w:b/>
      <w:bCs/>
      <w:i/>
      <w:iCs/>
      <w:color w:val="4D4D4D"/>
      <w:sz w:val="20"/>
      <w:szCs w:val="20"/>
    </w:rPr>
  </w:style>
  <w:style w:type="character" w:customStyle="1" w:styleId="Cmsor9Char">
    <w:name w:val="Címsor 9 Char"/>
    <w:basedOn w:val="Bekezdsalapbettpusa"/>
    <w:link w:val="Cmsor9"/>
    <w:uiPriority w:val="99"/>
    <w:semiHidden/>
    <w:locked/>
    <w:rsid w:val="00FF648F"/>
    <w:rPr>
      <w:rFonts w:ascii="Constantia" w:hAnsi="Constantia" w:cs="Constantia"/>
      <w:i/>
      <w:iCs/>
      <w:color w:val="4D4D4D"/>
      <w:sz w:val="20"/>
      <w:szCs w:val="20"/>
    </w:rPr>
  </w:style>
  <w:style w:type="paragraph" w:customStyle="1" w:styleId="cmsor10">
    <w:name w:val="címsor 1"/>
    <w:basedOn w:val="Norml"/>
    <w:next w:val="Norml"/>
    <w:link w:val="Cmsor1karaktere"/>
    <w:uiPriority w:val="99"/>
    <w:rsid w:val="00924688"/>
    <w:pPr>
      <w:keepNext/>
      <w:keepLines/>
      <w:spacing w:before="600" w:after="60"/>
      <w:outlineLvl w:val="0"/>
    </w:pPr>
    <w:rPr>
      <w:color w:val="DDDDDD"/>
      <w:sz w:val="30"/>
      <w:szCs w:val="30"/>
    </w:rPr>
  </w:style>
  <w:style w:type="paragraph" w:customStyle="1" w:styleId="cmsor20">
    <w:name w:val="címsor 2"/>
    <w:basedOn w:val="Norml"/>
    <w:next w:val="Norml"/>
    <w:link w:val="Cmsor2karaktere"/>
    <w:uiPriority w:val="99"/>
    <w:rsid w:val="00924688"/>
    <w:pPr>
      <w:keepNext/>
      <w:keepLines/>
      <w:spacing w:before="240" w:after="0"/>
      <w:outlineLvl w:val="1"/>
    </w:pPr>
    <w:rPr>
      <w:caps/>
      <w:color w:val="DDDDDD"/>
      <w:sz w:val="22"/>
      <w:szCs w:val="22"/>
    </w:rPr>
  </w:style>
  <w:style w:type="paragraph" w:customStyle="1" w:styleId="cmsor30">
    <w:name w:val="címsor 3"/>
    <w:basedOn w:val="Norml"/>
    <w:next w:val="Norml"/>
    <w:link w:val="Cmsor3karaktere"/>
    <w:uiPriority w:val="99"/>
    <w:rsid w:val="00924688"/>
    <w:pPr>
      <w:keepNext/>
      <w:keepLines/>
      <w:spacing w:before="200" w:after="0"/>
      <w:outlineLvl w:val="2"/>
    </w:pPr>
    <w:rPr>
      <w:color w:val="DDDDDD"/>
      <w:sz w:val="22"/>
      <w:szCs w:val="22"/>
    </w:rPr>
  </w:style>
  <w:style w:type="paragraph" w:customStyle="1" w:styleId="cmsor40">
    <w:name w:val="címsor 4"/>
    <w:basedOn w:val="Norml"/>
    <w:next w:val="Norml"/>
    <w:link w:val="Cmsor4karaktere"/>
    <w:uiPriority w:val="99"/>
    <w:semiHidden/>
    <w:rsid w:val="00924688"/>
    <w:pPr>
      <w:keepNext/>
      <w:keepLines/>
      <w:spacing w:before="200" w:after="0"/>
      <w:outlineLvl w:val="3"/>
    </w:pPr>
    <w:rPr>
      <w:i/>
      <w:iCs/>
      <w:color w:val="DDDDDD"/>
    </w:rPr>
  </w:style>
  <w:style w:type="paragraph" w:customStyle="1" w:styleId="cmsor60">
    <w:name w:val="címsor 6"/>
    <w:basedOn w:val="Norml"/>
    <w:next w:val="Norml"/>
    <w:link w:val="Cmsor6karaktere"/>
    <w:uiPriority w:val="99"/>
    <w:semiHidden/>
    <w:rsid w:val="00924688"/>
    <w:pPr>
      <w:keepNext/>
      <w:keepLines/>
      <w:spacing w:before="200" w:after="0"/>
      <w:outlineLvl w:val="5"/>
    </w:pPr>
    <w:rPr>
      <w:i/>
      <w:iCs/>
      <w:color w:val="6E6E6E"/>
    </w:rPr>
  </w:style>
  <w:style w:type="table" w:customStyle="1" w:styleId="Vilgosrnykols">
    <w:name w:val="Világos árnyékolás"/>
    <w:uiPriority w:val="99"/>
    <w:rsid w:val="00924688"/>
    <w:pPr>
      <w:spacing w:before="40" w:after="40"/>
    </w:pPr>
    <w:rPr>
      <w:rFonts w:cs="Constantia"/>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val="0"/>
        <w:bCs w:val="0"/>
        <w:caps/>
        <w:smallCaps w:val="0"/>
        <w:color w:val="000000"/>
        <w:spacing w:val="20"/>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Kapcsolattartsiadatok">
    <w:name w:val="Kapcsolattartási adatok"/>
    <w:basedOn w:val="Norml"/>
    <w:uiPriority w:val="99"/>
    <w:rsid w:val="00924688"/>
    <w:pPr>
      <w:spacing w:after="0"/>
      <w:jc w:val="center"/>
    </w:pPr>
  </w:style>
  <w:style w:type="character" w:customStyle="1" w:styleId="Cmsor1karaktere">
    <w:name w:val="Címsor 1 karaktere"/>
    <w:basedOn w:val="Bekezdsalapbettpusa"/>
    <w:link w:val="cmsor10"/>
    <w:uiPriority w:val="99"/>
    <w:locked/>
    <w:rsid w:val="00924688"/>
    <w:rPr>
      <w:rFonts w:ascii="Constantia" w:hAnsi="Constantia" w:cs="Constantia"/>
      <w:color w:val="DDDDDD"/>
      <w:sz w:val="30"/>
      <w:szCs w:val="30"/>
    </w:rPr>
  </w:style>
  <w:style w:type="character" w:customStyle="1" w:styleId="Cmsor2karaktere">
    <w:name w:val="Címsor 2 karaktere"/>
    <w:basedOn w:val="Bekezdsalapbettpusa"/>
    <w:link w:val="cmsor20"/>
    <w:uiPriority w:val="99"/>
    <w:locked/>
    <w:rsid w:val="00924688"/>
    <w:rPr>
      <w:rFonts w:ascii="Constantia" w:hAnsi="Constantia" w:cs="Constantia"/>
      <w:caps/>
      <w:color w:val="DDDDDD"/>
      <w:sz w:val="22"/>
      <w:szCs w:val="22"/>
    </w:rPr>
  </w:style>
  <w:style w:type="character" w:customStyle="1" w:styleId="Cmsor3karaktere">
    <w:name w:val="Címsor 3 karaktere"/>
    <w:basedOn w:val="Bekezdsalapbettpusa"/>
    <w:link w:val="cmsor30"/>
    <w:uiPriority w:val="99"/>
    <w:locked/>
    <w:rsid w:val="00924688"/>
    <w:rPr>
      <w:rFonts w:ascii="Constantia" w:hAnsi="Constantia" w:cs="Constantia"/>
      <w:color w:val="DDDDDD"/>
      <w:sz w:val="22"/>
      <w:szCs w:val="22"/>
    </w:rPr>
  </w:style>
  <w:style w:type="character" w:customStyle="1" w:styleId="Cmsor4karaktere">
    <w:name w:val="Címsor 4 karaktere"/>
    <w:basedOn w:val="Bekezdsalapbettpusa"/>
    <w:link w:val="cmsor40"/>
    <w:uiPriority w:val="99"/>
    <w:semiHidden/>
    <w:locked/>
    <w:rsid w:val="00924688"/>
    <w:rPr>
      <w:rFonts w:ascii="Constantia" w:hAnsi="Constantia" w:cs="Constantia"/>
      <w:i/>
      <w:iCs/>
      <w:color w:val="DDDDDD"/>
    </w:rPr>
  </w:style>
  <w:style w:type="character" w:customStyle="1" w:styleId="Cmsor6karaktere">
    <w:name w:val="Címsor 6 karaktere"/>
    <w:basedOn w:val="Bekezdsalapbettpusa"/>
    <w:link w:val="cmsor60"/>
    <w:uiPriority w:val="99"/>
    <w:semiHidden/>
    <w:locked/>
    <w:rsid w:val="00924688"/>
    <w:rPr>
      <w:rFonts w:ascii="Constantia" w:hAnsi="Constantia" w:cs="Constantia"/>
      <w:i/>
      <w:iCs/>
      <w:color w:val="6E6E6E"/>
    </w:rPr>
  </w:style>
  <w:style w:type="paragraph" w:customStyle="1" w:styleId="felirat">
    <w:name w:val="felirat"/>
    <w:basedOn w:val="Norml"/>
    <w:next w:val="Norml"/>
    <w:uiPriority w:val="99"/>
    <w:rsid w:val="00924688"/>
    <w:pPr>
      <w:spacing w:before="200" w:after="120" w:line="240" w:lineRule="auto"/>
    </w:pPr>
    <w:rPr>
      <w:i/>
      <w:iCs/>
    </w:rPr>
  </w:style>
  <w:style w:type="paragraph" w:styleId="Felsorols">
    <w:name w:val="List Bullet"/>
    <w:basedOn w:val="Norml"/>
    <w:uiPriority w:val="99"/>
    <w:rsid w:val="00924688"/>
    <w:pPr>
      <w:numPr>
        <w:numId w:val="3"/>
      </w:numPr>
    </w:pPr>
  </w:style>
  <w:style w:type="paragraph" w:styleId="Szmozottlista">
    <w:name w:val="List Number"/>
    <w:basedOn w:val="Norml"/>
    <w:uiPriority w:val="99"/>
    <w:rsid w:val="00924688"/>
    <w:pPr>
      <w:numPr>
        <w:numId w:val="4"/>
      </w:numPr>
    </w:pPr>
  </w:style>
  <w:style w:type="paragraph" w:styleId="Cm">
    <w:name w:val="Title"/>
    <w:basedOn w:val="Norml"/>
    <w:next w:val="Norml"/>
    <w:link w:val="CmChar"/>
    <w:uiPriority w:val="99"/>
    <w:qFormat/>
    <w:rsid w:val="00FF648F"/>
    <w:pPr>
      <w:spacing w:after="0" w:line="240" w:lineRule="auto"/>
    </w:pPr>
    <w:rPr>
      <w:color w:val="262626"/>
      <w:spacing w:val="-15"/>
      <w:sz w:val="96"/>
      <w:szCs w:val="96"/>
    </w:rPr>
  </w:style>
  <w:style w:type="character" w:customStyle="1" w:styleId="CmChar">
    <w:name w:val="Cím Char"/>
    <w:basedOn w:val="Bekezdsalapbettpusa"/>
    <w:link w:val="Cm"/>
    <w:uiPriority w:val="99"/>
    <w:locked/>
    <w:rsid w:val="00FF648F"/>
    <w:rPr>
      <w:rFonts w:ascii="Constantia" w:hAnsi="Constantia" w:cs="Constantia"/>
      <w:color w:val="262626"/>
      <w:spacing w:val="-15"/>
      <w:sz w:val="96"/>
      <w:szCs w:val="96"/>
    </w:rPr>
  </w:style>
  <w:style w:type="paragraph" w:styleId="Alcm">
    <w:name w:val="Subtitle"/>
    <w:basedOn w:val="Norml"/>
    <w:next w:val="Norml"/>
    <w:link w:val="AlcmChar"/>
    <w:uiPriority w:val="99"/>
    <w:qFormat/>
    <w:rsid w:val="00FF648F"/>
    <w:pPr>
      <w:numPr>
        <w:ilvl w:val="1"/>
      </w:numPr>
      <w:spacing w:line="240" w:lineRule="auto"/>
    </w:pPr>
    <w:rPr>
      <w:sz w:val="30"/>
      <w:szCs w:val="30"/>
    </w:rPr>
  </w:style>
  <w:style w:type="character" w:customStyle="1" w:styleId="AlcmChar">
    <w:name w:val="Alcím Char"/>
    <w:basedOn w:val="Bekezdsalapbettpusa"/>
    <w:link w:val="Alcm"/>
    <w:uiPriority w:val="99"/>
    <w:locked/>
    <w:rsid w:val="00FF648F"/>
    <w:rPr>
      <w:rFonts w:ascii="Constantia" w:hAnsi="Constantia" w:cs="Constantia"/>
      <w:sz w:val="30"/>
      <w:szCs w:val="30"/>
    </w:rPr>
  </w:style>
  <w:style w:type="character" w:styleId="Kiemels">
    <w:name w:val="Emphasis"/>
    <w:basedOn w:val="Bekezdsalapbettpusa"/>
    <w:uiPriority w:val="99"/>
    <w:qFormat/>
    <w:rsid w:val="00FF648F"/>
    <w:rPr>
      <w:i/>
      <w:iCs/>
      <w:color w:val="4D4D4D"/>
    </w:rPr>
  </w:style>
  <w:style w:type="paragraph" w:styleId="Nincstrkz">
    <w:name w:val="No Spacing"/>
    <w:link w:val="NincstrkzChar"/>
    <w:uiPriority w:val="99"/>
    <w:qFormat/>
    <w:rsid w:val="00FF648F"/>
    <w:rPr>
      <w:rFonts w:cs="Constantia"/>
      <w:sz w:val="21"/>
      <w:szCs w:val="21"/>
    </w:rPr>
  </w:style>
  <w:style w:type="character" w:customStyle="1" w:styleId="NincstrkzChar">
    <w:name w:val="Nincs térköz Char"/>
    <w:basedOn w:val="Bekezdsalapbettpusa"/>
    <w:link w:val="Nincstrkz"/>
    <w:uiPriority w:val="99"/>
    <w:locked/>
    <w:rsid w:val="00924688"/>
    <w:rPr>
      <w:sz w:val="21"/>
      <w:szCs w:val="21"/>
      <w:lang w:val="hu-HU" w:eastAsia="hu-HU"/>
    </w:rPr>
  </w:style>
  <w:style w:type="paragraph" w:styleId="Idzet">
    <w:name w:val="Quote"/>
    <w:basedOn w:val="Norml"/>
    <w:next w:val="Norml"/>
    <w:link w:val="IdzetChar"/>
    <w:uiPriority w:val="99"/>
    <w:qFormat/>
    <w:rsid w:val="00FF648F"/>
    <w:pPr>
      <w:spacing w:before="160"/>
      <w:ind w:left="720" w:right="720"/>
      <w:jc w:val="center"/>
    </w:pPr>
    <w:rPr>
      <w:i/>
      <w:iCs/>
      <w:color w:val="262626"/>
    </w:rPr>
  </w:style>
  <w:style w:type="character" w:customStyle="1" w:styleId="IdzetChar">
    <w:name w:val="Idézet Char"/>
    <w:basedOn w:val="Bekezdsalapbettpusa"/>
    <w:link w:val="Idzet"/>
    <w:uiPriority w:val="99"/>
    <w:locked/>
    <w:rsid w:val="00FF648F"/>
    <w:rPr>
      <w:i/>
      <w:iCs/>
      <w:color w:val="262626"/>
    </w:rPr>
  </w:style>
  <w:style w:type="paragraph" w:styleId="Tartalomjegyzkcmsora">
    <w:name w:val="TOC Heading"/>
    <w:basedOn w:val="Cmsor1"/>
    <w:next w:val="Norml"/>
    <w:uiPriority w:val="99"/>
    <w:qFormat/>
    <w:rsid w:val="00FF648F"/>
    <w:pPr>
      <w:outlineLvl w:val="9"/>
    </w:pPr>
  </w:style>
  <w:style w:type="paragraph" w:customStyle="1" w:styleId="llb">
    <w:name w:val="élőláb"/>
    <w:basedOn w:val="Norml"/>
    <w:link w:val="llbkaraktere"/>
    <w:uiPriority w:val="99"/>
    <w:rsid w:val="00924688"/>
    <w:pPr>
      <w:spacing w:after="0" w:line="240" w:lineRule="auto"/>
      <w:jc w:val="right"/>
    </w:pPr>
    <w:rPr>
      <w:caps/>
      <w:sz w:val="16"/>
      <w:szCs w:val="16"/>
    </w:rPr>
  </w:style>
  <w:style w:type="character" w:customStyle="1" w:styleId="llbkaraktere">
    <w:name w:val="Élőláb karaktere"/>
    <w:basedOn w:val="Bekezdsalapbettpusa"/>
    <w:link w:val="llb"/>
    <w:uiPriority w:val="99"/>
    <w:locked/>
    <w:rsid w:val="00924688"/>
    <w:rPr>
      <w:caps/>
      <w:sz w:val="16"/>
      <w:szCs w:val="16"/>
    </w:rPr>
  </w:style>
  <w:style w:type="paragraph" w:customStyle="1" w:styleId="tj3">
    <w:name w:val="tj 3"/>
    <w:basedOn w:val="Norml"/>
    <w:next w:val="Norml"/>
    <w:autoRedefine/>
    <w:uiPriority w:val="99"/>
    <w:rsid w:val="00924688"/>
    <w:pPr>
      <w:spacing w:after="100"/>
      <w:ind w:left="400"/>
    </w:pPr>
    <w:rPr>
      <w:i/>
      <w:iCs/>
    </w:rPr>
  </w:style>
  <w:style w:type="character" w:customStyle="1" w:styleId="Hivatkozs">
    <w:name w:val="Hivatkozás"/>
    <w:basedOn w:val="Bekezdsalapbettpusa"/>
    <w:uiPriority w:val="99"/>
    <w:rsid w:val="00924688"/>
    <w:rPr>
      <w:color w:val="auto"/>
      <w:u w:val="single"/>
    </w:rPr>
  </w:style>
  <w:style w:type="paragraph" w:customStyle="1" w:styleId="tj1">
    <w:name w:val="tj 1"/>
    <w:basedOn w:val="Norml"/>
    <w:next w:val="Norml"/>
    <w:autoRedefine/>
    <w:uiPriority w:val="99"/>
    <w:rsid w:val="00924688"/>
    <w:pPr>
      <w:spacing w:after="100"/>
    </w:pPr>
  </w:style>
  <w:style w:type="paragraph" w:customStyle="1" w:styleId="tj2">
    <w:name w:val="tj 2"/>
    <w:basedOn w:val="Norml"/>
    <w:next w:val="Norml"/>
    <w:autoRedefine/>
    <w:uiPriority w:val="99"/>
    <w:rsid w:val="00924688"/>
    <w:pPr>
      <w:spacing w:after="100"/>
      <w:ind w:left="200"/>
    </w:pPr>
  </w:style>
  <w:style w:type="paragraph" w:styleId="Buborkszveg">
    <w:name w:val="Balloon Text"/>
    <w:basedOn w:val="Norml"/>
    <w:link w:val="BuborkszvegChar"/>
    <w:uiPriority w:val="99"/>
    <w:semiHidden/>
    <w:rsid w:val="0092468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924688"/>
    <w:rPr>
      <w:rFonts w:ascii="Tahoma" w:hAnsi="Tahoma" w:cs="Tahoma"/>
      <w:sz w:val="16"/>
      <w:szCs w:val="16"/>
    </w:rPr>
  </w:style>
  <w:style w:type="paragraph" w:styleId="Irodalomjegyzk">
    <w:name w:val="Bibliography"/>
    <w:basedOn w:val="Norml"/>
    <w:next w:val="Norml"/>
    <w:uiPriority w:val="99"/>
    <w:rsid w:val="00924688"/>
  </w:style>
  <w:style w:type="paragraph" w:customStyle="1" w:styleId="lfej">
    <w:name w:val="élőfej"/>
    <w:basedOn w:val="Norml"/>
    <w:link w:val="lfejkaraktere"/>
    <w:uiPriority w:val="99"/>
    <w:rsid w:val="00924688"/>
    <w:pPr>
      <w:spacing w:after="0" w:line="240" w:lineRule="auto"/>
    </w:pPr>
  </w:style>
  <w:style w:type="character" w:customStyle="1" w:styleId="lfejkaraktere">
    <w:name w:val="Élőfej karaktere"/>
    <w:basedOn w:val="Bekezdsalapbettpusa"/>
    <w:link w:val="lfej"/>
    <w:uiPriority w:val="99"/>
    <w:locked/>
    <w:rsid w:val="00924688"/>
  </w:style>
  <w:style w:type="paragraph" w:styleId="Normlbehzs">
    <w:name w:val="Normal Indent"/>
    <w:basedOn w:val="Norml"/>
    <w:uiPriority w:val="99"/>
    <w:rsid w:val="00924688"/>
    <w:pPr>
      <w:ind w:left="720"/>
    </w:pPr>
  </w:style>
  <w:style w:type="character" w:styleId="Helyrzszveg">
    <w:name w:val="Placeholder Text"/>
    <w:basedOn w:val="Bekezdsalapbettpusa"/>
    <w:uiPriority w:val="99"/>
    <w:semiHidden/>
    <w:rsid w:val="00924688"/>
    <w:rPr>
      <w:color w:val="808080"/>
    </w:rPr>
  </w:style>
  <w:style w:type="table" w:customStyle="1" w:styleId="Kimutats">
    <w:name w:val="Kimutatás"/>
    <w:uiPriority w:val="99"/>
    <w:rsid w:val="00924688"/>
    <w:pPr>
      <w:spacing w:before="60" w:after="60"/>
      <w:jc w:val="center"/>
    </w:pPr>
    <w:rPr>
      <w:rFonts w:cs="Constantia"/>
      <w:sz w:val="20"/>
      <w:szCs w:val="20"/>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b/>
        <w:bCs/>
        <w:color w:val="000000"/>
      </w:rPr>
      <w:tblPr/>
      <w:tcPr>
        <w:tcBorders>
          <w:top w:val="nil"/>
          <w:left w:val="nil"/>
          <w:bottom w:val="nil"/>
          <w:right w:val="nil"/>
          <w:insideH w:val="nil"/>
          <w:insideV w:val="nil"/>
          <w:tl2br w:val="nil"/>
          <w:tr2bl w:val="nil"/>
        </w:tcBorders>
      </w:tcPr>
    </w:tblStylePr>
    <w:tblStylePr w:type="firstCol">
      <w:pPr>
        <w:jc w:val="left"/>
      </w:pPr>
    </w:tblStylePr>
  </w:style>
  <w:style w:type="table" w:styleId="Rcsostblzat">
    <w:name w:val="Table Grid"/>
    <w:basedOn w:val="Normltblzat"/>
    <w:uiPriority w:val="99"/>
    <w:rsid w:val="00924688"/>
    <w:rPr>
      <w:rFonts w:cs="Constant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palrs">
    <w:name w:val="caption"/>
    <w:basedOn w:val="Norml"/>
    <w:next w:val="Norml"/>
    <w:uiPriority w:val="99"/>
    <w:qFormat/>
    <w:rsid w:val="00FF648F"/>
    <w:pPr>
      <w:spacing w:line="240" w:lineRule="auto"/>
    </w:pPr>
    <w:rPr>
      <w:b/>
      <w:bCs/>
      <w:smallCaps/>
      <w:color w:val="595959"/>
    </w:rPr>
  </w:style>
  <w:style w:type="character" w:styleId="Kiemels2">
    <w:name w:val="Strong"/>
    <w:basedOn w:val="Bekezdsalapbettpusa"/>
    <w:uiPriority w:val="99"/>
    <w:qFormat/>
    <w:rsid w:val="00FF648F"/>
    <w:rPr>
      <w:b/>
      <w:bCs/>
    </w:rPr>
  </w:style>
  <w:style w:type="paragraph" w:styleId="Kiemeltidzet">
    <w:name w:val="Intense Quote"/>
    <w:basedOn w:val="Norml"/>
    <w:next w:val="Norml"/>
    <w:link w:val="KiemeltidzetChar"/>
    <w:uiPriority w:val="99"/>
    <w:qFormat/>
    <w:rsid w:val="00FF648F"/>
    <w:pPr>
      <w:spacing w:before="160" w:after="160" w:line="264" w:lineRule="auto"/>
      <w:ind w:left="720" w:right="720"/>
      <w:jc w:val="center"/>
    </w:pPr>
    <w:rPr>
      <w:i/>
      <w:iCs/>
      <w:color w:val="4D4D4D"/>
      <w:sz w:val="32"/>
      <w:szCs w:val="32"/>
    </w:rPr>
  </w:style>
  <w:style w:type="character" w:customStyle="1" w:styleId="KiemeltidzetChar">
    <w:name w:val="Kiemelt idézet Char"/>
    <w:basedOn w:val="Bekezdsalapbettpusa"/>
    <w:link w:val="Kiemeltidzet"/>
    <w:uiPriority w:val="99"/>
    <w:locked/>
    <w:rsid w:val="00FF648F"/>
    <w:rPr>
      <w:rFonts w:ascii="Constantia" w:hAnsi="Constantia" w:cs="Constantia"/>
      <w:i/>
      <w:iCs/>
      <w:color w:val="4D4D4D"/>
      <w:sz w:val="32"/>
      <w:szCs w:val="32"/>
    </w:rPr>
  </w:style>
  <w:style w:type="character" w:styleId="Finomkiemels">
    <w:name w:val="Subtle Emphasis"/>
    <w:basedOn w:val="Bekezdsalapbettpusa"/>
    <w:uiPriority w:val="99"/>
    <w:qFormat/>
    <w:rsid w:val="00FF648F"/>
    <w:rPr>
      <w:i/>
      <w:iCs/>
    </w:rPr>
  </w:style>
  <w:style w:type="character" w:styleId="Ershangslyozs">
    <w:name w:val="Intense Emphasis"/>
    <w:basedOn w:val="Bekezdsalapbettpusa"/>
    <w:uiPriority w:val="99"/>
    <w:qFormat/>
    <w:rsid w:val="00FF648F"/>
    <w:rPr>
      <w:b/>
      <w:bCs/>
      <w:i/>
      <w:iCs/>
    </w:rPr>
  </w:style>
  <w:style w:type="character" w:styleId="Finomhivatkozs">
    <w:name w:val="Subtle Reference"/>
    <w:basedOn w:val="Bekezdsalapbettpusa"/>
    <w:uiPriority w:val="99"/>
    <w:qFormat/>
    <w:rsid w:val="00FF648F"/>
    <w:rPr>
      <w:smallCaps/>
      <w:color w:val="595959"/>
    </w:rPr>
  </w:style>
  <w:style w:type="character" w:styleId="Ershivatkozs">
    <w:name w:val="Intense Reference"/>
    <w:basedOn w:val="Bekezdsalapbettpusa"/>
    <w:uiPriority w:val="99"/>
    <w:qFormat/>
    <w:rsid w:val="00FF648F"/>
    <w:rPr>
      <w:b/>
      <w:bCs/>
      <w:smallCaps/>
      <w:color w:val="4D4D4D"/>
    </w:rPr>
  </w:style>
  <w:style w:type="character" w:styleId="Knyvcme">
    <w:name w:val="Book Title"/>
    <w:basedOn w:val="Bekezdsalapbettpusa"/>
    <w:uiPriority w:val="99"/>
    <w:qFormat/>
    <w:rsid w:val="00FF648F"/>
    <w:rPr>
      <w:b/>
      <w:bCs/>
      <w:smallCaps/>
      <w:spacing w:val="7"/>
      <w:sz w:val="21"/>
      <w:szCs w:val="21"/>
    </w:rPr>
  </w:style>
  <w:style w:type="paragraph" w:styleId="Szvegtrzs">
    <w:name w:val="Body Text"/>
    <w:basedOn w:val="Norml"/>
    <w:link w:val="SzvegtrzsChar"/>
    <w:uiPriority w:val="99"/>
    <w:rsid w:val="00566036"/>
    <w:pPr>
      <w:widowControl w:val="0"/>
      <w:suppressAutoHyphens/>
      <w:spacing w:after="120" w:line="240" w:lineRule="auto"/>
    </w:pPr>
    <w:rPr>
      <w:rFonts w:cs="Times New Roman"/>
      <w:sz w:val="24"/>
      <w:szCs w:val="24"/>
    </w:rPr>
  </w:style>
  <w:style w:type="character" w:customStyle="1" w:styleId="SzvegtrzsChar">
    <w:name w:val="Szövegtörzs Char"/>
    <w:basedOn w:val="Bekezdsalapbettpusa"/>
    <w:link w:val="Szvegtrzs"/>
    <w:uiPriority w:val="99"/>
    <w:locked/>
    <w:rsid w:val="00566036"/>
    <w:rPr>
      <w:rFonts w:ascii="Times New Roman" w:eastAsia="Times New Roman" w:hAnsi="Times New Roman" w:cs="Times New Roman"/>
      <w:sz w:val="24"/>
      <w:szCs w:val="24"/>
    </w:rPr>
  </w:style>
  <w:style w:type="paragraph" w:customStyle="1" w:styleId="Tblzattartalom">
    <w:name w:val="Táblázattartalom"/>
    <w:basedOn w:val="Norml"/>
    <w:uiPriority w:val="99"/>
    <w:rsid w:val="00566036"/>
    <w:pPr>
      <w:widowControl w:val="0"/>
      <w:suppressLineNumbers/>
      <w:suppressAutoHyphens/>
      <w:spacing w:after="0" w:line="240" w:lineRule="auto"/>
    </w:pPr>
    <w:rPr>
      <w:rFonts w:cs="Times New Roman"/>
      <w:sz w:val="24"/>
      <w:szCs w:val="24"/>
    </w:rPr>
  </w:style>
  <w:style w:type="paragraph" w:styleId="TJ10">
    <w:name w:val="toc 1"/>
    <w:basedOn w:val="Norml"/>
    <w:next w:val="Norml"/>
    <w:autoRedefine/>
    <w:uiPriority w:val="99"/>
    <w:semiHidden/>
    <w:rsid w:val="00730AF2"/>
    <w:pPr>
      <w:spacing w:after="100"/>
    </w:pPr>
  </w:style>
  <w:style w:type="paragraph" w:styleId="TJ20">
    <w:name w:val="toc 2"/>
    <w:basedOn w:val="Norml"/>
    <w:next w:val="Norml"/>
    <w:autoRedefine/>
    <w:uiPriority w:val="99"/>
    <w:semiHidden/>
    <w:rsid w:val="00730AF2"/>
    <w:pPr>
      <w:spacing w:after="100"/>
      <w:ind w:left="210"/>
    </w:pPr>
  </w:style>
  <w:style w:type="paragraph" w:styleId="TJ30">
    <w:name w:val="toc 3"/>
    <w:basedOn w:val="Norml"/>
    <w:next w:val="Norml"/>
    <w:autoRedefine/>
    <w:uiPriority w:val="99"/>
    <w:semiHidden/>
    <w:rsid w:val="00730AF2"/>
    <w:pPr>
      <w:spacing w:after="100"/>
      <w:ind w:left="420"/>
    </w:pPr>
  </w:style>
  <w:style w:type="character" w:styleId="Hiperhivatkozs">
    <w:name w:val="Hyperlink"/>
    <w:basedOn w:val="Bekezdsalapbettpusa"/>
    <w:uiPriority w:val="99"/>
    <w:rsid w:val="00730AF2"/>
    <w:rPr>
      <w:color w:val="auto"/>
      <w:u w:val="single"/>
    </w:rPr>
  </w:style>
  <w:style w:type="paragraph" w:styleId="Listaszerbekezds">
    <w:name w:val="List Paragraph"/>
    <w:basedOn w:val="Norml"/>
    <w:uiPriority w:val="99"/>
    <w:qFormat/>
    <w:rsid w:val="00180623"/>
    <w:pPr>
      <w:ind w:left="720"/>
    </w:pPr>
  </w:style>
  <w:style w:type="paragraph" w:styleId="TJ4">
    <w:name w:val="toc 4"/>
    <w:basedOn w:val="Norml"/>
    <w:next w:val="Norml"/>
    <w:autoRedefine/>
    <w:uiPriority w:val="99"/>
    <w:semiHidden/>
    <w:rsid w:val="00FB29CC"/>
    <w:pPr>
      <w:spacing w:after="100" w:line="259" w:lineRule="auto"/>
      <w:ind w:left="660"/>
    </w:pPr>
    <w:rPr>
      <w:sz w:val="22"/>
      <w:szCs w:val="22"/>
    </w:rPr>
  </w:style>
  <w:style w:type="paragraph" w:styleId="TJ5">
    <w:name w:val="toc 5"/>
    <w:basedOn w:val="Norml"/>
    <w:next w:val="Norml"/>
    <w:autoRedefine/>
    <w:uiPriority w:val="99"/>
    <w:semiHidden/>
    <w:rsid w:val="00FB29CC"/>
    <w:pPr>
      <w:spacing w:after="100" w:line="259" w:lineRule="auto"/>
      <w:ind w:left="880"/>
    </w:pPr>
    <w:rPr>
      <w:sz w:val="22"/>
      <w:szCs w:val="22"/>
    </w:rPr>
  </w:style>
  <w:style w:type="paragraph" w:styleId="TJ6">
    <w:name w:val="toc 6"/>
    <w:basedOn w:val="Norml"/>
    <w:next w:val="Norml"/>
    <w:autoRedefine/>
    <w:uiPriority w:val="99"/>
    <w:semiHidden/>
    <w:rsid w:val="00FB29CC"/>
    <w:pPr>
      <w:spacing w:after="100" w:line="259" w:lineRule="auto"/>
      <w:ind w:left="1100"/>
    </w:pPr>
    <w:rPr>
      <w:sz w:val="22"/>
      <w:szCs w:val="22"/>
    </w:rPr>
  </w:style>
  <w:style w:type="paragraph" w:styleId="TJ7">
    <w:name w:val="toc 7"/>
    <w:basedOn w:val="Norml"/>
    <w:next w:val="Norml"/>
    <w:autoRedefine/>
    <w:uiPriority w:val="99"/>
    <w:semiHidden/>
    <w:rsid w:val="00FB29CC"/>
    <w:pPr>
      <w:spacing w:after="100" w:line="259" w:lineRule="auto"/>
      <w:ind w:left="1320"/>
    </w:pPr>
    <w:rPr>
      <w:sz w:val="22"/>
      <w:szCs w:val="22"/>
    </w:rPr>
  </w:style>
  <w:style w:type="paragraph" w:styleId="TJ8">
    <w:name w:val="toc 8"/>
    <w:basedOn w:val="Norml"/>
    <w:next w:val="Norml"/>
    <w:autoRedefine/>
    <w:uiPriority w:val="99"/>
    <w:semiHidden/>
    <w:rsid w:val="00FB29CC"/>
    <w:pPr>
      <w:spacing w:after="100" w:line="259" w:lineRule="auto"/>
      <w:ind w:left="1540"/>
    </w:pPr>
    <w:rPr>
      <w:sz w:val="22"/>
      <w:szCs w:val="22"/>
    </w:rPr>
  </w:style>
  <w:style w:type="paragraph" w:styleId="TJ9">
    <w:name w:val="toc 9"/>
    <w:basedOn w:val="Norml"/>
    <w:next w:val="Norml"/>
    <w:autoRedefine/>
    <w:uiPriority w:val="99"/>
    <w:semiHidden/>
    <w:rsid w:val="00FB29CC"/>
    <w:pPr>
      <w:spacing w:after="100" w:line="259" w:lineRule="auto"/>
      <w:ind w:left="1760"/>
    </w:pPr>
    <w:rPr>
      <w:sz w:val="22"/>
      <w:szCs w:val="22"/>
    </w:rPr>
  </w:style>
  <w:style w:type="paragraph" w:styleId="llb0">
    <w:name w:val="footer"/>
    <w:basedOn w:val="Norml"/>
    <w:link w:val="llbChar"/>
    <w:uiPriority w:val="99"/>
    <w:rsid w:val="007B6E16"/>
    <w:pPr>
      <w:tabs>
        <w:tab w:val="center" w:pos="4536"/>
        <w:tab w:val="right" w:pos="9072"/>
      </w:tabs>
      <w:suppressAutoHyphens/>
      <w:spacing w:after="0" w:line="240" w:lineRule="auto"/>
    </w:pPr>
    <w:rPr>
      <w:rFonts w:cs="Times New Roman"/>
      <w:sz w:val="24"/>
      <w:szCs w:val="24"/>
      <w:lang w:eastAsia="ar-SA"/>
    </w:rPr>
  </w:style>
  <w:style w:type="character" w:customStyle="1" w:styleId="llbChar">
    <w:name w:val="Élőláb Char"/>
    <w:basedOn w:val="Bekezdsalapbettpusa"/>
    <w:link w:val="llb0"/>
    <w:uiPriority w:val="99"/>
    <w:locked/>
    <w:rsid w:val="007B6E16"/>
    <w:rPr>
      <w:rFonts w:ascii="Times New Roman" w:hAnsi="Times New Roman" w:cs="Times New Roman"/>
      <w:sz w:val="24"/>
      <w:szCs w:val="24"/>
      <w:lang w:eastAsia="ar-SA" w:bidi="ar-SA"/>
    </w:rPr>
  </w:style>
  <w:style w:type="paragraph" w:styleId="Szvegtrzs2">
    <w:name w:val="Body Text 2"/>
    <w:basedOn w:val="Norml"/>
    <w:link w:val="Szvegtrzs2Char"/>
    <w:uiPriority w:val="99"/>
    <w:semiHidden/>
    <w:rsid w:val="00C133C6"/>
    <w:pPr>
      <w:spacing w:after="120" w:line="480" w:lineRule="auto"/>
    </w:pPr>
  </w:style>
  <w:style w:type="character" w:customStyle="1" w:styleId="Szvegtrzs2Char">
    <w:name w:val="Szövegtörzs 2 Char"/>
    <w:basedOn w:val="Bekezdsalapbettpusa"/>
    <w:link w:val="Szvegtrzs2"/>
    <w:uiPriority w:val="99"/>
    <w:semiHidden/>
    <w:locked/>
    <w:rsid w:val="00C133C6"/>
  </w:style>
  <w:style w:type="paragraph" w:customStyle="1" w:styleId="Stlus">
    <w:name w:val="Stílus"/>
    <w:uiPriority w:val="99"/>
    <w:rsid w:val="00C133C6"/>
    <w:pPr>
      <w:widowControl w:val="0"/>
      <w:autoSpaceDE w:val="0"/>
      <w:autoSpaceDN w:val="0"/>
      <w:adjustRightInd w:val="0"/>
    </w:pPr>
    <w:rPr>
      <w:rFonts w:ascii="Arial" w:hAnsi="Arial" w:cs="Arial"/>
      <w:sz w:val="24"/>
      <w:szCs w:val="24"/>
    </w:rPr>
  </w:style>
  <w:style w:type="character" w:customStyle="1" w:styleId="apple-converted-space">
    <w:name w:val="apple-converted-space"/>
    <w:basedOn w:val="Bekezdsalapbettpusa"/>
    <w:uiPriority w:val="99"/>
    <w:rsid w:val="00E4045E"/>
  </w:style>
  <w:style w:type="paragraph" w:styleId="lfej0">
    <w:name w:val="header"/>
    <w:basedOn w:val="Norml"/>
    <w:link w:val="lfejChar"/>
    <w:uiPriority w:val="99"/>
    <w:rsid w:val="0058772E"/>
    <w:pPr>
      <w:tabs>
        <w:tab w:val="center" w:pos="4536"/>
        <w:tab w:val="right" w:pos="9072"/>
      </w:tabs>
      <w:spacing w:after="0" w:line="240" w:lineRule="auto"/>
    </w:pPr>
  </w:style>
  <w:style w:type="character" w:customStyle="1" w:styleId="lfejChar">
    <w:name w:val="Élőfej Char"/>
    <w:basedOn w:val="Bekezdsalapbettpusa"/>
    <w:link w:val="lfej0"/>
    <w:uiPriority w:val="99"/>
    <w:locked/>
    <w:rsid w:val="0058772E"/>
  </w:style>
  <w:style w:type="paragraph" w:styleId="NormlWeb">
    <w:name w:val="Normal (Web)"/>
    <w:basedOn w:val="Norml"/>
    <w:uiPriority w:val="99"/>
    <w:semiHidden/>
    <w:rsid w:val="0005543F"/>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2141262323">
      <w:marLeft w:val="0"/>
      <w:marRight w:val="0"/>
      <w:marTop w:val="0"/>
      <w:marBottom w:val="0"/>
      <w:divBdr>
        <w:top w:val="none" w:sz="0" w:space="0" w:color="auto"/>
        <w:left w:val="none" w:sz="0" w:space="0" w:color="auto"/>
        <w:bottom w:val="none" w:sz="0" w:space="0" w:color="auto"/>
        <w:right w:val="none" w:sz="0" w:space="0" w:color="auto"/>
      </w:divBdr>
    </w:div>
    <w:div w:id="2141262348">
      <w:marLeft w:val="0"/>
      <w:marRight w:val="0"/>
      <w:marTop w:val="0"/>
      <w:marBottom w:val="0"/>
      <w:divBdr>
        <w:top w:val="none" w:sz="0" w:space="0" w:color="auto"/>
        <w:left w:val="none" w:sz="0" w:space="0" w:color="auto"/>
        <w:bottom w:val="none" w:sz="0" w:space="0" w:color="auto"/>
        <w:right w:val="none" w:sz="0" w:space="0" w:color="auto"/>
      </w:divBdr>
      <w:divsChild>
        <w:div w:id="2141262320">
          <w:marLeft w:val="0"/>
          <w:marRight w:val="0"/>
          <w:marTop w:val="0"/>
          <w:marBottom w:val="0"/>
          <w:divBdr>
            <w:top w:val="none" w:sz="0" w:space="0" w:color="auto"/>
            <w:left w:val="none" w:sz="0" w:space="0" w:color="auto"/>
            <w:bottom w:val="none" w:sz="0" w:space="0" w:color="auto"/>
            <w:right w:val="none" w:sz="0" w:space="0" w:color="auto"/>
          </w:divBdr>
        </w:div>
        <w:div w:id="2141262329">
          <w:marLeft w:val="0"/>
          <w:marRight w:val="0"/>
          <w:marTop w:val="0"/>
          <w:marBottom w:val="0"/>
          <w:divBdr>
            <w:top w:val="none" w:sz="0" w:space="0" w:color="auto"/>
            <w:left w:val="none" w:sz="0" w:space="0" w:color="auto"/>
            <w:bottom w:val="none" w:sz="0" w:space="0" w:color="auto"/>
            <w:right w:val="none" w:sz="0" w:space="0" w:color="auto"/>
          </w:divBdr>
        </w:div>
        <w:div w:id="2141262331">
          <w:marLeft w:val="0"/>
          <w:marRight w:val="0"/>
          <w:marTop w:val="0"/>
          <w:marBottom w:val="0"/>
          <w:divBdr>
            <w:top w:val="none" w:sz="0" w:space="0" w:color="auto"/>
            <w:left w:val="none" w:sz="0" w:space="0" w:color="auto"/>
            <w:bottom w:val="none" w:sz="0" w:space="0" w:color="auto"/>
            <w:right w:val="none" w:sz="0" w:space="0" w:color="auto"/>
          </w:divBdr>
        </w:div>
        <w:div w:id="2141262345">
          <w:marLeft w:val="0"/>
          <w:marRight w:val="0"/>
          <w:marTop w:val="0"/>
          <w:marBottom w:val="0"/>
          <w:divBdr>
            <w:top w:val="none" w:sz="0" w:space="0" w:color="auto"/>
            <w:left w:val="none" w:sz="0" w:space="0" w:color="auto"/>
            <w:bottom w:val="none" w:sz="0" w:space="0" w:color="auto"/>
            <w:right w:val="none" w:sz="0" w:space="0" w:color="auto"/>
          </w:divBdr>
        </w:div>
        <w:div w:id="2141262349">
          <w:marLeft w:val="0"/>
          <w:marRight w:val="0"/>
          <w:marTop w:val="0"/>
          <w:marBottom w:val="0"/>
          <w:divBdr>
            <w:top w:val="none" w:sz="0" w:space="0" w:color="auto"/>
            <w:left w:val="none" w:sz="0" w:space="0" w:color="auto"/>
            <w:bottom w:val="none" w:sz="0" w:space="0" w:color="auto"/>
            <w:right w:val="none" w:sz="0" w:space="0" w:color="auto"/>
          </w:divBdr>
        </w:div>
        <w:div w:id="2141262352">
          <w:marLeft w:val="0"/>
          <w:marRight w:val="0"/>
          <w:marTop w:val="0"/>
          <w:marBottom w:val="0"/>
          <w:divBdr>
            <w:top w:val="none" w:sz="0" w:space="0" w:color="auto"/>
            <w:left w:val="none" w:sz="0" w:space="0" w:color="auto"/>
            <w:bottom w:val="none" w:sz="0" w:space="0" w:color="auto"/>
            <w:right w:val="none" w:sz="0" w:space="0" w:color="auto"/>
          </w:divBdr>
        </w:div>
        <w:div w:id="2141262356">
          <w:marLeft w:val="0"/>
          <w:marRight w:val="0"/>
          <w:marTop w:val="0"/>
          <w:marBottom w:val="0"/>
          <w:divBdr>
            <w:top w:val="none" w:sz="0" w:space="0" w:color="auto"/>
            <w:left w:val="none" w:sz="0" w:space="0" w:color="auto"/>
            <w:bottom w:val="none" w:sz="0" w:space="0" w:color="auto"/>
            <w:right w:val="none" w:sz="0" w:space="0" w:color="auto"/>
          </w:divBdr>
        </w:div>
        <w:div w:id="2141262359">
          <w:marLeft w:val="0"/>
          <w:marRight w:val="0"/>
          <w:marTop w:val="0"/>
          <w:marBottom w:val="0"/>
          <w:divBdr>
            <w:top w:val="none" w:sz="0" w:space="0" w:color="auto"/>
            <w:left w:val="none" w:sz="0" w:space="0" w:color="auto"/>
            <w:bottom w:val="none" w:sz="0" w:space="0" w:color="auto"/>
            <w:right w:val="none" w:sz="0" w:space="0" w:color="auto"/>
          </w:divBdr>
        </w:div>
        <w:div w:id="2141262364">
          <w:marLeft w:val="0"/>
          <w:marRight w:val="0"/>
          <w:marTop w:val="0"/>
          <w:marBottom w:val="0"/>
          <w:divBdr>
            <w:top w:val="none" w:sz="0" w:space="0" w:color="auto"/>
            <w:left w:val="none" w:sz="0" w:space="0" w:color="auto"/>
            <w:bottom w:val="none" w:sz="0" w:space="0" w:color="auto"/>
            <w:right w:val="none" w:sz="0" w:space="0" w:color="auto"/>
          </w:divBdr>
        </w:div>
        <w:div w:id="2141262367">
          <w:marLeft w:val="0"/>
          <w:marRight w:val="0"/>
          <w:marTop w:val="0"/>
          <w:marBottom w:val="0"/>
          <w:divBdr>
            <w:top w:val="none" w:sz="0" w:space="0" w:color="auto"/>
            <w:left w:val="none" w:sz="0" w:space="0" w:color="auto"/>
            <w:bottom w:val="none" w:sz="0" w:space="0" w:color="auto"/>
            <w:right w:val="none" w:sz="0" w:space="0" w:color="auto"/>
          </w:divBdr>
        </w:div>
        <w:div w:id="2141262374">
          <w:marLeft w:val="0"/>
          <w:marRight w:val="0"/>
          <w:marTop w:val="0"/>
          <w:marBottom w:val="0"/>
          <w:divBdr>
            <w:top w:val="none" w:sz="0" w:space="0" w:color="auto"/>
            <w:left w:val="none" w:sz="0" w:space="0" w:color="auto"/>
            <w:bottom w:val="none" w:sz="0" w:space="0" w:color="auto"/>
            <w:right w:val="none" w:sz="0" w:space="0" w:color="auto"/>
          </w:divBdr>
        </w:div>
        <w:div w:id="2141262381">
          <w:marLeft w:val="0"/>
          <w:marRight w:val="0"/>
          <w:marTop w:val="0"/>
          <w:marBottom w:val="0"/>
          <w:divBdr>
            <w:top w:val="none" w:sz="0" w:space="0" w:color="auto"/>
            <w:left w:val="none" w:sz="0" w:space="0" w:color="auto"/>
            <w:bottom w:val="none" w:sz="0" w:space="0" w:color="auto"/>
            <w:right w:val="none" w:sz="0" w:space="0" w:color="auto"/>
          </w:divBdr>
        </w:div>
        <w:div w:id="2141262382">
          <w:marLeft w:val="0"/>
          <w:marRight w:val="0"/>
          <w:marTop w:val="0"/>
          <w:marBottom w:val="0"/>
          <w:divBdr>
            <w:top w:val="none" w:sz="0" w:space="0" w:color="auto"/>
            <w:left w:val="none" w:sz="0" w:space="0" w:color="auto"/>
            <w:bottom w:val="none" w:sz="0" w:space="0" w:color="auto"/>
            <w:right w:val="none" w:sz="0" w:space="0" w:color="auto"/>
          </w:divBdr>
        </w:div>
        <w:div w:id="2141262383">
          <w:marLeft w:val="0"/>
          <w:marRight w:val="0"/>
          <w:marTop w:val="0"/>
          <w:marBottom w:val="0"/>
          <w:divBdr>
            <w:top w:val="none" w:sz="0" w:space="0" w:color="auto"/>
            <w:left w:val="none" w:sz="0" w:space="0" w:color="auto"/>
            <w:bottom w:val="none" w:sz="0" w:space="0" w:color="auto"/>
            <w:right w:val="none" w:sz="0" w:space="0" w:color="auto"/>
          </w:divBdr>
        </w:div>
        <w:div w:id="2141262384">
          <w:marLeft w:val="0"/>
          <w:marRight w:val="0"/>
          <w:marTop w:val="0"/>
          <w:marBottom w:val="0"/>
          <w:divBdr>
            <w:top w:val="none" w:sz="0" w:space="0" w:color="auto"/>
            <w:left w:val="none" w:sz="0" w:space="0" w:color="auto"/>
            <w:bottom w:val="none" w:sz="0" w:space="0" w:color="auto"/>
            <w:right w:val="none" w:sz="0" w:space="0" w:color="auto"/>
          </w:divBdr>
        </w:div>
        <w:div w:id="2141262396">
          <w:marLeft w:val="0"/>
          <w:marRight w:val="0"/>
          <w:marTop w:val="0"/>
          <w:marBottom w:val="0"/>
          <w:divBdr>
            <w:top w:val="none" w:sz="0" w:space="0" w:color="auto"/>
            <w:left w:val="none" w:sz="0" w:space="0" w:color="auto"/>
            <w:bottom w:val="none" w:sz="0" w:space="0" w:color="auto"/>
            <w:right w:val="none" w:sz="0" w:space="0" w:color="auto"/>
          </w:divBdr>
        </w:div>
        <w:div w:id="2141262397">
          <w:marLeft w:val="0"/>
          <w:marRight w:val="0"/>
          <w:marTop w:val="0"/>
          <w:marBottom w:val="0"/>
          <w:divBdr>
            <w:top w:val="none" w:sz="0" w:space="0" w:color="auto"/>
            <w:left w:val="none" w:sz="0" w:space="0" w:color="auto"/>
            <w:bottom w:val="none" w:sz="0" w:space="0" w:color="auto"/>
            <w:right w:val="none" w:sz="0" w:space="0" w:color="auto"/>
          </w:divBdr>
        </w:div>
        <w:div w:id="2141262400">
          <w:marLeft w:val="0"/>
          <w:marRight w:val="0"/>
          <w:marTop w:val="0"/>
          <w:marBottom w:val="0"/>
          <w:divBdr>
            <w:top w:val="none" w:sz="0" w:space="0" w:color="auto"/>
            <w:left w:val="none" w:sz="0" w:space="0" w:color="auto"/>
            <w:bottom w:val="none" w:sz="0" w:space="0" w:color="auto"/>
            <w:right w:val="none" w:sz="0" w:space="0" w:color="auto"/>
          </w:divBdr>
        </w:div>
        <w:div w:id="2141262405">
          <w:marLeft w:val="0"/>
          <w:marRight w:val="0"/>
          <w:marTop w:val="0"/>
          <w:marBottom w:val="0"/>
          <w:divBdr>
            <w:top w:val="none" w:sz="0" w:space="0" w:color="auto"/>
            <w:left w:val="none" w:sz="0" w:space="0" w:color="auto"/>
            <w:bottom w:val="none" w:sz="0" w:space="0" w:color="auto"/>
            <w:right w:val="none" w:sz="0" w:space="0" w:color="auto"/>
          </w:divBdr>
        </w:div>
        <w:div w:id="2141262407">
          <w:marLeft w:val="0"/>
          <w:marRight w:val="0"/>
          <w:marTop w:val="0"/>
          <w:marBottom w:val="0"/>
          <w:divBdr>
            <w:top w:val="none" w:sz="0" w:space="0" w:color="auto"/>
            <w:left w:val="none" w:sz="0" w:space="0" w:color="auto"/>
            <w:bottom w:val="none" w:sz="0" w:space="0" w:color="auto"/>
            <w:right w:val="none" w:sz="0" w:space="0" w:color="auto"/>
          </w:divBdr>
        </w:div>
        <w:div w:id="2141262409">
          <w:marLeft w:val="0"/>
          <w:marRight w:val="0"/>
          <w:marTop w:val="0"/>
          <w:marBottom w:val="0"/>
          <w:divBdr>
            <w:top w:val="none" w:sz="0" w:space="0" w:color="auto"/>
            <w:left w:val="none" w:sz="0" w:space="0" w:color="auto"/>
            <w:bottom w:val="none" w:sz="0" w:space="0" w:color="auto"/>
            <w:right w:val="none" w:sz="0" w:space="0" w:color="auto"/>
          </w:divBdr>
        </w:div>
        <w:div w:id="2141262410">
          <w:marLeft w:val="0"/>
          <w:marRight w:val="0"/>
          <w:marTop w:val="0"/>
          <w:marBottom w:val="0"/>
          <w:divBdr>
            <w:top w:val="none" w:sz="0" w:space="0" w:color="auto"/>
            <w:left w:val="none" w:sz="0" w:space="0" w:color="auto"/>
            <w:bottom w:val="none" w:sz="0" w:space="0" w:color="auto"/>
            <w:right w:val="none" w:sz="0" w:space="0" w:color="auto"/>
          </w:divBdr>
        </w:div>
      </w:divsChild>
    </w:div>
    <w:div w:id="2141262358">
      <w:marLeft w:val="0"/>
      <w:marRight w:val="0"/>
      <w:marTop w:val="0"/>
      <w:marBottom w:val="0"/>
      <w:divBdr>
        <w:top w:val="none" w:sz="0" w:space="0" w:color="auto"/>
        <w:left w:val="none" w:sz="0" w:space="0" w:color="auto"/>
        <w:bottom w:val="none" w:sz="0" w:space="0" w:color="auto"/>
        <w:right w:val="none" w:sz="0" w:space="0" w:color="auto"/>
      </w:divBdr>
      <w:divsChild>
        <w:div w:id="2141262321">
          <w:marLeft w:val="0"/>
          <w:marRight w:val="0"/>
          <w:marTop w:val="0"/>
          <w:marBottom w:val="0"/>
          <w:divBdr>
            <w:top w:val="none" w:sz="0" w:space="0" w:color="auto"/>
            <w:left w:val="none" w:sz="0" w:space="0" w:color="auto"/>
            <w:bottom w:val="none" w:sz="0" w:space="0" w:color="auto"/>
            <w:right w:val="none" w:sz="0" w:space="0" w:color="auto"/>
          </w:divBdr>
        </w:div>
        <w:div w:id="2141262322">
          <w:marLeft w:val="0"/>
          <w:marRight w:val="0"/>
          <w:marTop w:val="0"/>
          <w:marBottom w:val="0"/>
          <w:divBdr>
            <w:top w:val="none" w:sz="0" w:space="0" w:color="auto"/>
            <w:left w:val="none" w:sz="0" w:space="0" w:color="auto"/>
            <w:bottom w:val="none" w:sz="0" w:space="0" w:color="auto"/>
            <w:right w:val="none" w:sz="0" w:space="0" w:color="auto"/>
          </w:divBdr>
        </w:div>
        <w:div w:id="2141262325">
          <w:marLeft w:val="0"/>
          <w:marRight w:val="0"/>
          <w:marTop w:val="0"/>
          <w:marBottom w:val="0"/>
          <w:divBdr>
            <w:top w:val="none" w:sz="0" w:space="0" w:color="auto"/>
            <w:left w:val="none" w:sz="0" w:space="0" w:color="auto"/>
            <w:bottom w:val="none" w:sz="0" w:space="0" w:color="auto"/>
            <w:right w:val="none" w:sz="0" w:space="0" w:color="auto"/>
          </w:divBdr>
        </w:div>
        <w:div w:id="2141262326">
          <w:marLeft w:val="0"/>
          <w:marRight w:val="0"/>
          <w:marTop w:val="0"/>
          <w:marBottom w:val="0"/>
          <w:divBdr>
            <w:top w:val="none" w:sz="0" w:space="0" w:color="auto"/>
            <w:left w:val="none" w:sz="0" w:space="0" w:color="auto"/>
            <w:bottom w:val="none" w:sz="0" w:space="0" w:color="auto"/>
            <w:right w:val="none" w:sz="0" w:space="0" w:color="auto"/>
          </w:divBdr>
        </w:div>
        <w:div w:id="2141262327">
          <w:marLeft w:val="0"/>
          <w:marRight w:val="0"/>
          <w:marTop w:val="0"/>
          <w:marBottom w:val="0"/>
          <w:divBdr>
            <w:top w:val="none" w:sz="0" w:space="0" w:color="auto"/>
            <w:left w:val="none" w:sz="0" w:space="0" w:color="auto"/>
            <w:bottom w:val="none" w:sz="0" w:space="0" w:color="auto"/>
            <w:right w:val="none" w:sz="0" w:space="0" w:color="auto"/>
          </w:divBdr>
        </w:div>
        <w:div w:id="2141262328">
          <w:marLeft w:val="0"/>
          <w:marRight w:val="0"/>
          <w:marTop w:val="0"/>
          <w:marBottom w:val="0"/>
          <w:divBdr>
            <w:top w:val="none" w:sz="0" w:space="0" w:color="auto"/>
            <w:left w:val="none" w:sz="0" w:space="0" w:color="auto"/>
            <w:bottom w:val="none" w:sz="0" w:space="0" w:color="auto"/>
            <w:right w:val="none" w:sz="0" w:space="0" w:color="auto"/>
          </w:divBdr>
        </w:div>
        <w:div w:id="2141262330">
          <w:marLeft w:val="0"/>
          <w:marRight w:val="0"/>
          <w:marTop w:val="0"/>
          <w:marBottom w:val="0"/>
          <w:divBdr>
            <w:top w:val="none" w:sz="0" w:space="0" w:color="auto"/>
            <w:left w:val="none" w:sz="0" w:space="0" w:color="auto"/>
            <w:bottom w:val="none" w:sz="0" w:space="0" w:color="auto"/>
            <w:right w:val="none" w:sz="0" w:space="0" w:color="auto"/>
          </w:divBdr>
        </w:div>
        <w:div w:id="2141262336">
          <w:marLeft w:val="0"/>
          <w:marRight w:val="0"/>
          <w:marTop w:val="0"/>
          <w:marBottom w:val="0"/>
          <w:divBdr>
            <w:top w:val="none" w:sz="0" w:space="0" w:color="auto"/>
            <w:left w:val="none" w:sz="0" w:space="0" w:color="auto"/>
            <w:bottom w:val="none" w:sz="0" w:space="0" w:color="auto"/>
            <w:right w:val="none" w:sz="0" w:space="0" w:color="auto"/>
          </w:divBdr>
        </w:div>
        <w:div w:id="2141262337">
          <w:marLeft w:val="0"/>
          <w:marRight w:val="0"/>
          <w:marTop w:val="0"/>
          <w:marBottom w:val="0"/>
          <w:divBdr>
            <w:top w:val="none" w:sz="0" w:space="0" w:color="auto"/>
            <w:left w:val="none" w:sz="0" w:space="0" w:color="auto"/>
            <w:bottom w:val="none" w:sz="0" w:space="0" w:color="auto"/>
            <w:right w:val="none" w:sz="0" w:space="0" w:color="auto"/>
          </w:divBdr>
        </w:div>
        <w:div w:id="2141262339">
          <w:marLeft w:val="0"/>
          <w:marRight w:val="0"/>
          <w:marTop w:val="0"/>
          <w:marBottom w:val="0"/>
          <w:divBdr>
            <w:top w:val="none" w:sz="0" w:space="0" w:color="auto"/>
            <w:left w:val="none" w:sz="0" w:space="0" w:color="auto"/>
            <w:bottom w:val="none" w:sz="0" w:space="0" w:color="auto"/>
            <w:right w:val="none" w:sz="0" w:space="0" w:color="auto"/>
          </w:divBdr>
        </w:div>
        <w:div w:id="2141262340">
          <w:marLeft w:val="0"/>
          <w:marRight w:val="0"/>
          <w:marTop w:val="0"/>
          <w:marBottom w:val="0"/>
          <w:divBdr>
            <w:top w:val="none" w:sz="0" w:space="0" w:color="auto"/>
            <w:left w:val="none" w:sz="0" w:space="0" w:color="auto"/>
            <w:bottom w:val="none" w:sz="0" w:space="0" w:color="auto"/>
            <w:right w:val="none" w:sz="0" w:space="0" w:color="auto"/>
          </w:divBdr>
        </w:div>
        <w:div w:id="2141262341">
          <w:marLeft w:val="0"/>
          <w:marRight w:val="0"/>
          <w:marTop w:val="0"/>
          <w:marBottom w:val="0"/>
          <w:divBdr>
            <w:top w:val="none" w:sz="0" w:space="0" w:color="auto"/>
            <w:left w:val="none" w:sz="0" w:space="0" w:color="auto"/>
            <w:bottom w:val="none" w:sz="0" w:space="0" w:color="auto"/>
            <w:right w:val="none" w:sz="0" w:space="0" w:color="auto"/>
          </w:divBdr>
        </w:div>
        <w:div w:id="2141262342">
          <w:marLeft w:val="0"/>
          <w:marRight w:val="0"/>
          <w:marTop w:val="0"/>
          <w:marBottom w:val="0"/>
          <w:divBdr>
            <w:top w:val="none" w:sz="0" w:space="0" w:color="auto"/>
            <w:left w:val="none" w:sz="0" w:space="0" w:color="auto"/>
            <w:bottom w:val="none" w:sz="0" w:space="0" w:color="auto"/>
            <w:right w:val="none" w:sz="0" w:space="0" w:color="auto"/>
          </w:divBdr>
        </w:div>
        <w:div w:id="2141262343">
          <w:marLeft w:val="0"/>
          <w:marRight w:val="0"/>
          <w:marTop w:val="0"/>
          <w:marBottom w:val="0"/>
          <w:divBdr>
            <w:top w:val="none" w:sz="0" w:space="0" w:color="auto"/>
            <w:left w:val="none" w:sz="0" w:space="0" w:color="auto"/>
            <w:bottom w:val="none" w:sz="0" w:space="0" w:color="auto"/>
            <w:right w:val="none" w:sz="0" w:space="0" w:color="auto"/>
          </w:divBdr>
        </w:div>
        <w:div w:id="2141262344">
          <w:marLeft w:val="0"/>
          <w:marRight w:val="0"/>
          <w:marTop w:val="0"/>
          <w:marBottom w:val="0"/>
          <w:divBdr>
            <w:top w:val="none" w:sz="0" w:space="0" w:color="auto"/>
            <w:left w:val="none" w:sz="0" w:space="0" w:color="auto"/>
            <w:bottom w:val="none" w:sz="0" w:space="0" w:color="auto"/>
            <w:right w:val="none" w:sz="0" w:space="0" w:color="auto"/>
          </w:divBdr>
        </w:div>
        <w:div w:id="2141262347">
          <w:marLeft w:val="0"/>
          <w:marRight w:val="0"/>
          <w:marTop w:val="0"/>
          <w:marBottom w:val="0"/>
          <w:divBdr>
            <w:top w:val="none" w:sz="0" w:space="0" w:color="auto"/>
            <w:left w:val="none" w:sz="0" w:space="0" w:color="auto"/>
            <w:bottom w:val="none" w:sz="0" w:space="0" w:color="auto"/>
            <w:right w:val="none" w:sz="0" w:space="0" w:color="auto"/>
          </w:divBdr>
        </w:div>
        <w:div w:id="2141262351">
          <w:marLeft w:val="0"/>
          <w:marRight w:val="0"/>
          <w:marTop w:val="0"/>
          <w:marBottom w:val="0"/>
          <w:divBdr>
            <w:top w:val="none" w:sz="0" w:space="0" w:color="auto"/>
            <w:left w:val="none" w:sz="0" w:space="0" w:color="auto"/>
            <w:bottom w:val="none" w:sz="0" w:space="0" w:color="auto"/>
            <w:right w:val="none" w:sz="0" w:space="0" w:color="auto"/>
          </w:divBdr>
        </w:div>
        <w:div w:id="2141262353">
          <w:marLeft w:val="0"/>
          <w:marRight w:val="0"/>
          <w:marTop w:val="0"/>
          <w:marBottom w:val="0"/>
          <w:divBdr>
            <w:top w:val="none" w:sz="0" w:space="0" w:color="auto"/>
            <w:left w:val="none" w:sz="0" w:space="0" w:color="auto"/>
            <w:bottom w:val="none" w:sz="0" w:space="0" w:color="auto"/>
            <w:right w:val="none" w:sz="0" w:space="0" w:color="auto"/>
          </w:divBdr>
        </w:div>
        <w:div w:id="2141262354">
          <w:marLeft w:val="0"/>
          <w:marRight w:val="0"/>
          <w:marTop w:val="0"/>
          <w:marBottom w:val="0"/>
          <w:divBdr>
            <w:top w:val="none" w:sz="0" w:space="0" w:color="auto"/>
            <w:left w:val="none" w:sz="0" w:space="0" w:color="auto"/>
            <w:bottom w:val="none" w:sz="0" w:space="0" w:color="auto"/>
            <w:right w:val="none" w:sz="0" w:space="0" w:color="auto"/>
          </w:divBdr>
        </w:div>
        <w:div w:id="2141262355">
          <w:marLeft w:val="0"/>
          <w:marRight w:val="0"/>
          <w:marTop w:val="0"/>
          <w:marBottom w:val="0"/>
          <w:divBdr>
            <w:top w:val="none" w:sz="0" w:space="0" w:color="auto"/>
            <w:left w:val="none" w:sz="0" w:space="0" w:color="auto"/>
            <w:bottom w:val="none" w:sz="0" w:space="0" w:color="auto"/>
            <w:right w:val="none" w:sz="0" w:space="0" w:color="auto"/>
          </w:divBdr>
        </w:div>
        <w:div w:id="2141262357">
          <w:marLeft w:val="0"/>
          <w:marRight w:val="0"/>
          <w:marTop w:val="0"/>
          <w:marBottom w:val="0"/>
          <w:divBdr>
            <w:top w:val="none" w:sz="0" w:space="0" w:color="auto"/>
            <w:left w:val="none" w:sz="0" w:space="0" w:color="auto"/>
            <w:bottom w:val="none" w:sz="0" w:space="0" w:color="auto"/>
            <w:right w:val="none" w:sz="0" w:space="0" w:color="auto"/>
          </w:divBdr>
        </w:div>
        <w:div w:id="2141262360">
          <w:marLeft w:val="0"/>
          <w:marRight w:val="0"/>
          <w:marTop w:val="0"/>
          <w:marBottom w:val="0"/>
          <w:divBdr>
            <w:top w:val="none" w:sz="0" w:space="0" w:color="auto"/>
            <w:left w:val="none" w:sz="0" w:space="0" w:color="auto"/>
            <w:bottom w:val="none" w:sz="0" w:space="0" w:color="auto"/>
            <w:right w:val="none" w:sz="0" w:space="0" w:color="auto"/>
          </w:divBdr>
        </w:div>
        <w:div w:id="2141262362">
          <w:marLeft w:val="0"/>
          <w:marRight w:val="0"/>
          <w:marTop w:val="0"/>
          <w:marBottom w:val="0"/>
          <w:divBdr>
            <w:top w:val="none" w:sz="0" w:space="0" w:color="auto"/>
            <w:left w:val="none" w:sz="0" w:space="0" w:color="auto"/>
            <w:bottom w:val="none" w:sz="0" w:space="0" w:color="auto"/>
            <w:right w:val="none" w:sz="0" w:space="0" w:color="auto"/>
          </w:divBdr>
        </w:div>
        <w:div w:id="2141262363">
          <w:marLeft w:val="0"/>
          <w:marRight w:val="0"/>
          <w:marTop w:val="0"/>
          <w:marBottom w:val="0"/>
          <w:divBdr>
            <w:top w:val="none" w:sz="0" w:space="0" w:color="auto"/>
            <w:left w:val="none" w:sz="0" w:space="0" w:color="auto"/>
            <w:bottom w:val="none" w:sz="0" w:space="0" w:color="auto"/>
            <w:right w:val="none" w:sz="0" w:space="0" w:color="auto"/>
          </w:divBdr>
        </w:div>
        <w:div w:id="2141262365">
          <w:marLeft w:val="0"/>
          <w:marRight w:val="0"/>
          <w:marTop w:val="0"/>
          <w:marBottom w:val="0"/>
          <w:divBdr>
            <w:top w:val="none" w:sz="0" w:space="0" w:color="auto"/>
            <w:left w:val="none" w:sz="0" w:space="0" w:color="auto"/>
            <w:bottom w:val="none" w:sz="0" w:space="0" w:color="auto"/>
            <w:right w:val="none" w:sz="0" w:space="0" w:color="auto"/>
          </w:divBdr>
        </w:div>
        <w:div w:id="2141262366">
          <w:marLeft w:val="0"/>
          <w:marRight w:val="0"/>
          <w:marTop w:val="0"/>
          <w:marBottom w:val="0"/>
          <w:divBdr>
            <w:top w:val="none" w:sz="0" w:space="0" w:color="auto"/>
            <w:left w:val="none" w:sz="0" w:space="0" w:color="auto"/>
            <w:bottom w:val="none" w:sz="0" w:space="0" w:color="auto"/>
            <w:right w:val="none" w:sz="0" w:space="0" w:color="auto"/>
          </w:divBdr>
        </w:div>
        <w:div w:id="2141262369">
          <w:marLeft w:val="0"/>
          <w:marRight w:val="0"/>
          <w:marTop w:val="0"/>
          <w:marBottom w:val="0"/>
          <w:divBdr>
            <w:top w:val="none" w:sz="0" w:space="0" w:color="auto"/>
            <w:left w:val="none" w:sz="0" w:space="0" w:color="auto"/>
            <w:bottom w:val="none" w:sz="0" w:space="0" w:color="auto"/>
            <w:right w:val="none" w:sz="0" w:space="0" w:color="auto"/>
          </w:divBdr>
        </w:div>
        <w:div w:id="2141262370">
          <w:marLeft w:val="0"/>
          <w:marRight w:val="0"/>
          <w:marTop w:val="0"/>
          <w:marBottom w:val="0"/>
          <w:divBdr>
            <w:top w:val="none" w:sz="0" w:space="0" w:color="auto"/>
            <w:left w:val="none" w:sz="0" w:space="0" w:color="auto"/>
            <w:bottom w:val="none" w:sz="0" w:space="0" w:color="auto"/>
            <w:right w:val="none" w:sz="0" w:space="0" w:color="auto"/>
          </w:divBdr>
        </w:div>
        <w:div w:id="2141262371">
          <w:marLeft w:val="0"/>
          <w:marRight w:val="0"/>
          <w:marTop w:val="0"/>
          <w:marBottom w:val="0"/>
          <w:divBdr>
            <w:top w:val="none" w:sz="0" w:space="0" w:color="auto"/>
            <w:left w:val="none" w:sz="0" w:space="0" w:color="auto"/>
            <w:bottom w:val="none" w:sz="0" w:space="0" w:color="auto"/>
            <w:right w:val="none" w:sz="0" w:space="0" w:color="auto"/>
          </w:divBdr>
        </w:div>
        <w:div w:id="2141262372">
          <w:marLeft w:val="0"/>
          <w:marRight w:val="0"/>
          <w:marTop w:val="0"/>
          <w:marBottom w:val="0"/>
          <w:divBdr>
            <w:top w:val="none" w:sz="0" w:space="0" w:color="auto"/>
            <w:left w:val="none" w:sz="0" w:space="0" w:color="auto"/>
            <w:bottom w:val="none" w:sz="0" w:space="0" w:color="auto"/>
            <w:right w:val="none" w:sz="0" w:space="0" w:color="auto"/>
          </w:divBdr>
        </w:div>
        <w:div w:id="2141262373">
          <w:marLeft w:val="0"/>
          <w:marRight w:val="0"/>
          <w:marTop w:val="0"/>
          <w:marBottom w:val="0"/>
          <w:divBdr>
            <w:top w:val="none" w:sz="0" w:space="0" w:color="auto"/>
            <w:left w:val="none" w:sz="0" w:space="0" w:color="auto"/>
            <w:bottom w:val="none" w:sz="0" w:space="0" w:color="auto"/>
            <w:right w:val="none" w:sz="0" w:space="0" w:color="auto"/>
          </w:divBdr>
        </w:div>
        <w:div w:id="2141262376">
          <w:marLeft w:val="0"/>
          <w:marRight w:val="0"/>
          <w:marTop w:val="0"/>
          <w:marBottom w:val="0"/>
          <w:divBdr>
            <w:top w:val="none" w:sz="0" w:space="0" w:color="auto"/>
            <w:left w:val="none" w:sz="0" w:space="0" w:color="auto"/>
            <w:bottom w:val="none" w:sz="0" w:space="0" w:color="auto"/>
            <w:right w:val="none" w:sz="0" w:space="0" w:color="auto"/>
          </w:divBdr>
        </w:div>
        <w:div w:id="2141262377">
          <w:marLeft w:val="0"/>
          <w:marRight w:val="0"/>
          <w:marTop w:val="0"/>
          <w:marBottom w:val="0"/>
          <w:divBdr>
            <w:top w:val="none" w:sz="0" w:space="0" w:color="auto"/>
            <w:left w:val="none" w:sz="0" w:space="0" w:color="auto"/>
            <w:bottom w:val="none" w:sz="0" w:space="0" w:color="auto"/>
            <w:right w:val="none" w:sz="0" w:space="0" w:color="auto"/>
          </w:divBdr>
        </w:div>
        <w:div w:id="2141262378">
          <w:marLeft w:val="0"/>
          <w:marRight w:val="0"/>
          <w:marTop w:val="0"/>
          <w:marBottom w:val="0"/>
          <w:divBdr>
            <w:top w:val="none" w:sz="0" w:space="0" w:color="auto"/>
            <w:left w:val="none" w:sz="0" w:space="0" w:color="auto"/>
            <w:bottom w:val="none" w:sz="0" w:space="0" w:color="auto"/>
            <w:right w:val="none" w:sz="0" w:space="0" w:color="auto"/>
          </w:divBdr>
        </w:div>
        <w:div w:id="2141262379">
          <w:marLeft w:val="0"/>
          <w:marRight w:val="0"/>
          <w:marTop w:val="0"/>
          <w:marBottom w:val="0"/>
          <w:divBdr>
            <w:top w:val="none" w:sz="0" w:space="0" w:color="auto"/>
            <w:left w:val="none" w:sz="0" w:space="0" w:color="auto"/>
            <w:bottom w:val="none" w:sz="0" w:space="0" w:color="auto"/>
            <w:right w:val="none" w:sz="0" w:space="0" w:color="auto"/>
          </w:divBdr>
        </w:div>
        <w:div w:id="2141262380">
          <w:marLeft w:val="0"/>
          <w:marRight w:val="0"/>
          <w:marTop w:val="0"/>
          <w:marBottom w:val="0"/>
          <w:divBdr>
            <w:top w:val="none" w:sz="0" w:space="0" w:color="auto"/>
            <w:left w:val="none" w:sz="0" w:space="0" w:color="auto"/>
            <w:bottom w:val="none" w:sz="0" w:space="0" w:color="auto"/>
            <w:right w:val="none" w:sz="0" w:space="0" w:color="auto"/>
          </w:divBdr>
        </w:div>
        <w:div w:id="2141262385">
          <w:marLeft w:val="0"/>
          <w:marRight w:val="0"/>
          <w:marTop w:val="0"/>
          <w:marBottom w:val="0"/>
          <w:divBdr>
            <w:top w:val="none" w:sz="0" w:space="0" w:color="auto"/>
            <w:left w:val="none" w:sz="0" w:space="0" w:color="auto"/>
            <w:bottom w:val="none" w:sz="0" w:space="0" w:color="auto"/>
            <w:right w:val="none" w:sz="0" w:space="0" w:color="auto"/>
          </w:divBdr>
        </w:div>
        <w:div w:id="2141262387">
          <w:marLeft w:val="0"/>
          <w:marRight w:val="0"/>
          <w:marTop w:val="0"/>
          <w:marBottom w:val="0"/>
          <w:divBdr>
            <w:top w:val="none" w:sz="0" w:space="0" w:color="auto"/>
            <w:left w:val="none" w:sz="0" w:space="0" w:color="auto"/>
            <w:bottom w:val="none" w:sz="0" w:space="0" w:color="auto"/>
            <w:right w:val="none" w:sz="0" w:space="0" w:color="auto"/>
          </w:divBdr>
        </w:div>
        <w:div w:id="2141262388">
          <w:marLeft w:val="0"/>
          <w:marRight w:val="0"/>
          <w:marTop w:val="0"/>
          <w:marBottom w:val="0"/>
          <w:divBdr>
            <w:top w:val="none" w:sz="0" w:space="0" w:color="auto"/>
            <w:left w:val="none" w:sz="0" w:space="0" w:color="auto"/>
            <w:bottom w:val="none" w:sz="0" w:space="0" w:color="auto"/>
            <w:right w:val="none" w:sz="0" w:space="0" w:color="auto"/>
          </w:divBdr>
        </w:div>
        <w:div w:id="2141262391">
          <w:marLeft w:val="0"/>
          <w:marRight w:val="0"/>
          <w:marTop w:val="0"/>
          <w:marBottom w:val="0"/>
          <w:divBdr>
            <w:top w:val="none" w:sz="0" w:space="0" w:color="auto"/>
            <w:left w:val="none" w:sz="0" w:space="0" w:color="auto"/>
            <w:bottom w:val="none" w:sz="0" w:space="0" w:color="auto"/>
            <w:right w:val="none" w:sz="0" w:space="0" w:color="auto"/>
          </w:divBdr>
        </w:div>
        <w:div w:id="2141262394">
          <w:marLeft w:val="0"/>
          <w:marRight w:val="0"/>
          <w:marTop w:val="0"/>
          <w:marBottom w:val="0"/>
          <w:divBdr>
            <w:top w:val="none" w:sz="0" w:space="0" w:color="auto"/>
            <w:left w:val="none" w:sz="0" w:space="0" w:color="auto"/>
            <w:bottom w:val="none" w:sz="0" w:space="0" w:color="auto"/>
            <w:right w:val="none" w:sz="0" w:space="0" w:color="auto"/>
          </w:divBdr>
        </w:div>
        <w:div w:id="2141262399">
          <w:marLeft w:val="0"/>
          <w:marRight w:val="0"/>
          <w:marTop w:val="0"/>
          <w:marBottom w:val="0"/>
          <w:divBdr>
            <w:top w:val="none" w:sz="0" w:space="0" w:color="auto"/>
            <w:left w:val="none" w:sz="0" w:space="0" w:color="auto"/>
            <w:bottom w:val="none" w:sz="0" w:space="0" w:color="auto"/>
            <w:right w:val="none" w:sz="0" w:space="0" w:color="auto"/>
          </w:divBdr>
        </w:div>
        <w:div w:id="2141262402">
          <w:marLeft w:val="0"/>
          <w:marRight w:val="0"/>
          <w:marTop w:val="0"/>
          <w:marBottom w:val="0"/>
          <w:divBdr>
            <w:top w:val="none" w:sz="0" w:space="0" w:color="auto"/>
            <w:left w:val="none" w:sz="0" w:space="0" w:color="auto"/>
            <w:bottom w:val="none" w:sz="0" w:space="0" w:color="auto"/>
            <w:right w:val="none" w:sz="0" w:space="0" w:color="auto"/>
          </w:divBdr>
        </w:div>
        <w:div w:id="2141262403">
          <w:marLeft w:val="0"/>
          <w:marRight w:val="0"/>
          <w:marTop w:val="0"/>
          <w:marBottom w:val="0"/>
          <w:divBdr>
            <w:top w:val="none" w:sz="0" w:space="0" w:color="auto"/>
            <w:left w:val="none" w:sz="0" w:space="0" w:color="auto"/>
            <w:bottom w:val="none" w:sz="0" w:space="0" w:color="auto"/>
            <w:right w:val="none" w:sz="0" w:space="0" w:color="auto"/>
          </w:divBdr>
        </w:div>
        <w:div w:id="2141262406">
          <w:marLeft w:val="0"/>
          <w:marRight w:val="0"/>
          <w:marTop w:val="0"/>
          <w:marBottom w:val="0"/>
          <w:divBdr>
            <w:top w:val="none" w:sz="0" w:space="0" w:color="auto"/>
            <w:left w:val="none" w:sz="0" w:space="0" w:color="auto"/>
            <w:bottom w:val="none" w:sz="0" w:space="0" w:color="auto"/>
            <w:right w:val="none" w:sz="0" w:space="0" w:color="auto"/>
          </w:divBdr>
        </w:div>
        <w:div w:id="2141262408">
          <w:marLeft w:val="0"/>
          <w:marRight w:val="0"/>
          <w:marTop w:val="0"/>
          <w:marBottom w:val="0"/>
          <w:divBdr>
            <w:top w:val="none" w:sz="0" w:space="0" w:color="auto"/>
            <w:left w:val="none" w:sz="0" w:space="0" w:color="auto"/>
            <w:bottom w:val="none" w:sz="0" w:space="0" w:color="auto"/>
            <w:right w:val="none" w:sz="0" w:space="0" w:color="auto"/>
          </w:divBdr>
        </w:div>
        <w:div w:id="2141262411">
          <w:marLeft w:val="0"/>
          <w:marRight w:val="0"/>
          <w:marTop w:val="0"/>
          <w:marBottom w:val="0"/>
          <w:divBdr>
            <w:top w:val="none" w:sz="0" w:space="0" w:color="auto"/>
            <w:left w:val="none" w:sz="0" w:space="0" w:color="auto"/>
            <w:bottom w:val="none" w:sz="0" w:space="0" w:color="auto"/>
            <w:right w:val="none" w:sz="0" w:space="0" w:color="auto"/>
          </w:divBdr>
        </w:div>
      </w:divsChild>
    </w:div>
    <w:div w:id="2141262375">
      <w:marLeft w:val="0"/>
      <w:marRight w:val="0"/>
      <w:marTop w:val="0"/>
      <w:marBottom w:val="0"/>
      <w:divBdr>
        <w:top w:val="none" w:sz="0" w:space="0" w:color="auto"/>
        <w:left w:val="none" w:sz="0" w:space="0" w:color="auto"/>
        <w:bottom w:val="none" w:sz="0" w:space="0" w:color="auto"/>
        <w:right w:val="none" w:sz="0" w:space="0" w:color="auto"/>
      </w:divBdr>
    </w:div>
    <w:div w:id="2141262386">
      <w:marLeft w:val="0"/>
      <w:marRight w:val="0"/>
      <w:marTop w:val="0"/>
      <w:marBottom w:val="0"/>
      <w:divBdr>
        <w:top w:val="none" w:sz="0" w:space="0" w:color="auto"/>
        <w:left w:val="none" w:sz="0" w:space="0" w:color="auto"/>
        <w:bottom w:val="none" w:sz="0" w:space="0" w:color="auto"/>
        <w:right w:val="none" w:sz="0" w:space="0" w:color="auto"/>
      </w:divBdr>
    </w:div>
    <w:div w:id="2141262395">
      <w:marLeft w:val="0"/>
      <w:marRight w:val="0"/>
      <w:marTop w:val="0"/>
      <w:marBottom w:val="0"/>
      <w:divBdr>
        <w:top w:val="none" w:sz="0" w:space="0" w:color="auto"/>
        <w:left w:val="none" w:sz="0" w:space="0" w:color="auto"/>
        <w:bottom w:val="none" w:sz="0" w:space="0" w:color="auto"/>
        <w:right w:val="none" w:sz="0" w:space="0" w:color="auto"/>
      </w:divBdr>
      <w:divsChild>
        <w:div w:id="2141262324">
          <w:marLeft w:val="0"/>
          <w:marRight w:val="0"/>
          <w:marTop w:val="0"/>
          <w:marBottom w:val="0"/>
          <w:divBdr>
            <w:top w:val="none" w:sz="0" w:space="0" w:color="auto"/>
            <w:left w:val="none" w:sz="0" w:space="0" w:color="auto"/>
            <w:bottom w:val="none" w:sz="0" w:space="0" w:color="auto"/>
            <w:right w:val="none" w:sz="0" w:space="0" w:color="auto"/>
          </w:divBdr>
        </w:div>
        <w:div w:id="2141262332">
          <w:marLeft w:val="0"/>
          <w:marRight w:val="0"/>
          <w:marTop w:val="0"/>
          <w:marBottom w:val="0"/>
          <w:divBdr>
            <w:top w:val="none" w:sz="0" w:space="0" w:color="auto"/>
            <w:left w:val="none" w:sz="0" w:space="0" w:color="auto"/>
            <w:bottom w:val="none" w:sz="0" w:space="0" w:color="auto"/>
            <w:right w:val="none" w:sz="0" w:space="0" w:color="auto"/>
          </w:divBdr>
        </w:div>
        <w:div w:id="2141262333">
          <w:marLeft w:val="0"/>
          <w:marRight w:val="0"/>
          <w:marTop w:val="0"/>
          <w:marBottom w:val="0"/>
          <w:divBdr>
            <w:top w:val="none" w:sz="0" w:space="0" w:color="auto"/>
            <w:left w:val="none" w:sz="0" w:space="0" w:color="auto"/>
            <w:bottom w:val="none" w:sz="0" w:space="0" w:color="auto"/>
            <w:right w:val="none" w:sz="0" w:space="0" w:color="auto"/>
          </w:divBdr>
        </w:div>
        <w:div w:id="2141262334">
          <w:marLeft w:val="0"/>
          <w:marRight w:val="0"/>
          <w:marTop w:val="0"/>
          <w:marBottom w:val="0"/>
          <w:divBdr>
            <w:top w:val="none" w:sz="0" w:space="0" w:color="auto"/>
            <w:left w:val="none" w:sz="0" w:space="0" w:color="auto"/>
            <w:bottom w:val="none" w:sz="0" w:space="0" w:color="auto"/>
            <w:right w:val="none" w:sz="0" w:space="0" w:color="auto"/>
          </w:divBdr>
        </w:div>
        <w:div w:id="2141262335">
          <w:marLeft w:val="0"/>
          <w:marRight w:val="0"/>
          <w:marTop w:val="0"/>
          <w:marBottom w:val="0"/>
          <w:divBdr>
            <w:top w:val="none" w:sz="0" w:space="0" w:color="auto"/>
            <w:left w:val="none" w:sz="0" w:space="0" w:color="auto"/>
            <w:bottom w:val="none" w:sz="0" w:space="0" w:color="auto"/>
            <w:right w:val="none" w:sz="0" w:space="0" w:color="auto"/>
          </w:divBdr>
        </w:div>
        <w:div w:id="2141262338">
          <w:marLeft w:val="0"/>
          <w:marRight w:val="0"/>
          <w:marTop w:val="0"/>
          <w:marBottom w:val="0"/>
          <w:divBdr>
            <w:top w:val="none" w:sz="0" w:space="0" w:color="auto"/>
            <w:left w:val="none" w:sz="0" w:space="0" w:color="auto"/>
            <w:bottom w:val="none" w:sz="0" w:space="0" w:color="auto"/>
            <w:right w:val="none" w:sz="0" w:space="0" w:color="auto"/>
          </w:divBdr>
        </w:div>
        <w:div w:id="2141262346">
          <w:marLeft w:val="0"/>
          <w:marRight w:val="0"/>
          <w:marTop w:val="0"/>
          <w:marBottom w:val="0"/>
          <w:divBdr>
            <w:top w:val="none" w:sz="0" w:space="0" w:color="auto"/>
            <w:left w:val="none" w:sz="0" w:space="0" w:color="auto"/>
            <w:bottom w:val="none" w:sz="0" w:space="0" w:color="auto"/>
            <w:right w:val="none" w:sz="0" w:space="0" w:color="auto"/>
          </w:divBdr>
        </w:div>
        <w:div w:id="2141262350">
          <w:marLeft w:val="0"/>
          <w:marRight w:val="0"/>
          <w:marTop w:val="0"/>
          <w:marBottom w:val="0"/>
          <w:divBdr>
            <w:top w:val="none" w:sz="0" w:space="0" w:color="auto"/>
            <w:left w:val="none" w:sz="0" w:space="0" w:color="auto"/>
            <w:bottom w:val="none" w:sz="0" w:space="0" w:color="auto"/>
            <w:right w:val="none" w:sz="0" w:space="0" w:color="auto"/>
          </w:divBdr>
        </w:div>
        <w:div w:id="2141262361">
          <w:marLeft w:val="0"/>
          <w:marRight w:val="0"/>
          <w:marTop w:val="0"/>
          <w:marBottom w:val="0"/>
          <w:divBdr>
            <w:top w:val="none" w:sz="0" w:space="0" w:color="auto"/>
            <w:left w:val="none" w:sz="0" w:space="0" w:color="auto"/>
            <w:bottom w:val="none" w:sz="0" w:space="0" w:color="auto"/>
            <w:right w:val="none" w:sz="0" w:space="0" w:color="auto"/>
          </w:divBdr>
        </w:div>
        <w:div w:id="2141262368">
          <w:marLeft w:val="0"/>
          <w:marRight w:val="0"/>
          <w:marTop w:val="0"/>
          <w:marBottom w:val="0"/>
          <w:divBdr>
            <w:top w:val="none" w:sz="0" w:space="0" w:color="auto"/>
            <w:left w:val="none" w:sz="0" w:space="0" w:color="auto"/>
            <w:bottom w:val="none" w:sz="0" w:space="0" w:color="auto"/>
            <w:right w:val="none" w:sz="0" w:space="0" w:color="auto"/>
          </w:divBdr>
        </w:div>
        <w:div w:id="2141262389">
          <w:marLeft w:val="0"/>
          <w:marRight w:val="0"/>
          <w:marTop w:val="0"/>
          <w:marBottom w:val="0"/>
          <w:divBdr>
            <w:top w:val="none" w:sz="0" w:space="0" w:color="auto"/>
            <w:left w:val="none" w:sz="0" w:space="0" w:color="auto"/>
            <w:bottom w:val="none" w:sz="0" w:space="0" w:color="auto"/>
            <w:right w:val="none" w:sz="0" w:space="0" w:color="auto"/>
          </w:divBdr>
        </w:div>
        <w:div w:id="2141262390">
          <w:marLeft w:val="0"/>
          <w:marRight w:val="0"/>
          <w:marTop w:val="0"/>
          <w:marBottom w:val="0"/>
          <w:divBdr>
            <w:top w:val="none" w:sz="0" w:space="0" w:color="auto"/>
            <w:left w:val="none" w:sz="0" w:space="0" w:color="auto"/>
            <w:bottom w:val="none" w:sz="0" w:space="0" w:color="auto"/>
            <w:right w:val="none" w:sz="0" w:space="0" w:color="auto"/>
          </w:divBdr>
        </w:div>
        <w:div w:id="2141262392">
          <w:marLeft w:val="0"/>
          <w:marRight w:val="0"/>
          <w:marTop w:val="0"/>
          <w:marBottom w:val="0"/>
          <w:divBdr>
            <w:top w:val="none" w:sz="0" w:space="0" w:color="auto"/>
            <w:left w:val="none" w:sz="0" w:space="0" w:color="auto"/>
            <w:bottom w:val="none" w:sz="0" w:space="0" w:color="auto"/>
            <w:right w:val="none" w:sz="0" w:space="0" w:color="auto"/>
          </w:divBdr>
        </w:div>
        <w:div w:id="2141262393">
          <w:marLeft w:val="0"/>
          <w:marRight w:val="0"/>
          <w:marTop w:val="0"/>
          <w:marBottom w:val="0"/>
          <w:divBdr>
            <w:top w:val="none" w:sz="0" w:space="0" w:color="auto"/>
            <w:left w:val="none" w:sz="0" w:space="0" w:color="auto"/>
            <w:bottom w:val="none" w:sz="0" w:space="0" w:color="auto"/>
            <w:right w:val="none" w:sz="0" w:space="0" w:color="auto"/>
          </w:divBdr>
        </w:div>
        <w:div w:id="2141262398">
          <w:marLeft w:val="0"/>
          <w:marRight w:val="0"/>
          <w:marTop w:val="0"/>
          <w:marBottom w:val="0"/>
          <w:divBdr>
            <w:top w:val="none" w:sz="0" w:space="0" w:color="auto"/>
            <w:left w:val="none" w:sz="0" w:space="0" w:color="auto"/>
            <w:bottom w:val="none" w:sz="0" w:space="0" w:color="auto"/>
            <w:right w:val="none" w:sz="0" w:space="0" w:color="auto"/>
          </w:divBdr>
        </w:div>
        <w:div w:id="2141262401">
          <w:marLeft w:val="0"/>
          <w:marRight w:val="0"/>
          <w:marTop w:val="0"/>
          <w:marBottom w:val="0"/>
          <w:divBdr>
            <w:top w:val="none" w:sz="0" w:space="0" w:color="auto"/>
            <w:left w:val="none" w:sz="0" w:space="0" w:color="auto"/>
            <w:bottom w:val="none" w:sz="0" w:space="0" w:color="auto"/>
            <w:right w:val="none" w:sz="0" w:space="0" w:color="auto"/>
          </w:divBdr>
        </w:div>
        <w:div w:id="2141262404">
          <w:marLeft w:val="0"/>
          <w:marRight w:val="0"/>
          <w:marTop w:val="0"/>
          <w:marBottom w:val="0"/>
          <w:divBdr>
            <w:top w:val="none" w:sz="0" w:space="0" w:color="auto"/>
            <w:left w:val="none" w:sz="0" w:space="0" w:color="auto"/>
            <w:bottom w:val="none" w:sz="0" w:space="0" w:color="auto"/>
            <w:right w:val="none" w:sz="0" w:space="0" w:color="auto"/>
          </w:divBdr>
        </w:div>
        <w:div w:id="21412624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opedia.hu/koltse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2807</Words>
  <Characters>21927</Characters>
  <Application>Microsoft Office Word</Application>
  <DocSecurity>4</DocSecurity>
  <Lines>182</Lines>
  <Paragraphs>49</Paragraphs>
  <ScaleCrop>false</ScaleCrop>
  <HeadingPairs>
    <vt:vector size="2" baseType="variant">
      <vt:variant>
        <vt:lpstr>Cím</vt:lpstr>
      </vt:variant>
      <vt:variant>
        <vt:i4>1</vt:i4>
      </vt:variant>
    </vt:vector>
  </HeadingPairs>
  <TitlesOfParts>
    <vt:vector size="1" baseType="lpstr">
      <vt:lpstr>SZÁMVITELI POLITIKA</vt:lpstr>
    </vt:vector>
  </TitlesOfParts>
  <Company/>
  <LinksUpToDate>false</LinksUpToDate>
  <CharactersWithSpaces>24685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SZÁMVITELI POLITIKA</dc:title>
  <dc:subject>HAJDÚNÁNÁSI ÉPÍTŐ ÉS SZOLGÁLTATÓ KFT.</dc:subject>
  <dc:creator>Készítette:</dc:creator>
  <cp:keywords>Kissné Berényi Tímea</cp:keywords>
  <cp:lastModifiedBy>forgacs.andrea</cp:lastModifiedBy>
  <cp:revision>2</cp:revision>
  <cp:lastPrinted>2017-01-19T15:15:00Z</cp:lastPrinted>
  <dcterms:created xsi:type="dcterms:W3CDTF">2017-01-19T15:16:00Z</dcterms:created>
  <dcterms:modified xsi:type="dcterms:W3CDTF">2017-01-19T15:16:00Z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TC028350589991</vt:lpwstr>
  </property>
</Properties>
</file>